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9A" w:rsidRDefault="0099119A" w:rsidP="0099119A">
      <w:pPr>
        <w:autoSpaceDE w:val="0"/>
        <w:autoSpaceDN w:val="0"/>
        <w:adjustRightInd w:val="0"/>
        <w:spacing w:line="240" w:lineRule="auto"/>
        <w:contextualSpacing w:val="0"/>
        <w:jc w:val="center"/>
        <w:rPr>
          <w:rFonts w:cs="Arial"/>
          <w:b/>
          <w:bCs/>
          <w:sz w:val="28"/>
          <w:szCs w:val="28"/>
        </w:rPr>
      </w:pPr>
      <w:r>
        <w:rPr>
          <w:rFonts w:cs="Arial"/>
          <w:b/>
          <w:bCs/>
          <w:sz w:val="28"/>
          <w:szCs w:val="28"/>
        </w:rPr>
        <w:t>UNIVERSIDADE FEDERAL DO ESPÍRITO SANTO</w:t>
      </w:r>
    </w:p>
    <w:p w:rsidR="0099119A" w:rsidRDefault="0099119A" w:rsidP="0099119A">
      <w:pPr>
        <w:autoSpaceDE w:val="0"/>
        <w:autoSpaceDN w:val="0"/>
        <w:adjustRightInd w:val="0"/>
        <w:spacing w:line="240" w:lineRule="auto"/>
        <w:contextualSpacing w:val="0"/>
        <w:jc w:val="center"/>
        <w:rPr>
          <w:rFonts w:cs="Arial"/>
          <w:b/>
          <w:bCs/>
          <w:sz w:val="28"/>
          <w:szCs w:val="28"/>
        </w:rPr>
      </w:pPr>
      <w:r>
        <w:rPr>
          <w:rFonts w:cs="Arial"/>
          <w:b/>
          <w:bCs/>
          <w:sz w:val="28"/>
          <w:szCs w:val="28"/>
        </w:rPr>
        <w:t>CENTRO TECNOLÓGICO</w:t>
      </w:r>
    </w:p>
    <w:p w:rsidR="0099119A" w:rsidRDefault="0099119A" w:rsidP="0099119A">
      <w:pPr>
        <w:autoSpaceDE w:val="0"/>
        <w:autoSpaceDN w:val="0"/>
        <w:adjustRightInd w:val="0"/>
        <w:spacing w:line="240" w:lineRule="auto"/>
        <w:contextualSpacing w:val="0"/>
        <w:jc w:val="center"/>
        <w:rPr>
          <w:rFonts w:cs="Arial"/>
          <w:b/>
          <w:bCs/>
          <w:sz w:val="28"/>
          <w:szCs w:val="28"/>
        </w:rPr>
      </w:pPr>
      <w:r>
        <w:rPr>
          <w:rFonts w:cs="Arial"/>
          <w:b/>
          <w:bCs/>
          <w:sz w:val="28"/>
          <w:szCs w:val="28"/>
        </w:rPr>
        <w:t>DEPARTAMENTO DE ENGENHARIA MECÂNICA</w:t>
      </w:r>
    </w:p>
    <w:p w:rsidR="0099119A" w:rsidRDefault="0099119A" w:rsidP="0099119A">
      <w:pPr>
        <w:autoSpaceDE w:val="0"/>
        <w:autoSpaceDN w:val="0"/>
        <w:adjustRightInd w:val="0"/>
        <w:contextualSpacing w:val="0"/>
        <w:jc w:val="left"/>
        <w:rPr>
          <w:rFonts w:cs="Arial"/>
          <w:sz w:val="28"/>
          <w:szCs w:val="28"/>
        </w:rPr>
      </w:pPr>
    </w:p>
    <w:p w:rsidR="0099119A" w:rsidRDefault="0099119A" w:rsidP="0099119A">
      <w:pPr>
        <w:autoSpaceDE w:val="0"/>
        <w:autoSpaceDN w:val="0"/>
        <w:adjustRightInd w:val="0"/>
        <w:contextualSpacing w:val="0"/>
        <w:jc w:val="left"/>
        <w:rPr>
          <w:rFonts w:cs="Arial"/>
          <w:sz w:val="28"/>
          <w:szCs w:val="28"/>
        </w:rPr>
      </w:pPr>
    </w:p>
    <w:p w:rsidR="0099119A" w:rsidRDefault="0099119A" w:rsidP="0099119A">
      <w:pPr>
        <w:autoSpaceDE w:val="0"/>
        <w:autoSpaceDN w:val="0"/>
        <w:adjustRightInd w:val="0"/>
        <w:contextualSpacing w:val="0"/>
        <w:jc w:val="center"/>
        <w:rPr>
          <w:rFonts w:cs="Arial"/>
          <w:sz w:val="28"/>
          <w:szCs w:val="28"/>
        </w:rPr>
      </w:pPr>
      <w:r>
        <w:rPr>
          <w:rFonts w:cs="Arial"/>
          <w:sz w:val="28"/>
          <w:szCs w:val="28"/>
        </w:rPr>
        <w:t>Jhonnilo Soares Cunha</w:t>
      </w:r>
    </w:p>
    <w:p w:rsidR="0099119A" w:rsidRDefault="0099119A" w:rsidP="0099119A">
      <w:pPr>
        <w:autoSpaceDE w:val="0"/>
        <w:autoSpaceDN w:val="0"/>
        <w:adjustRightInd w:val="0"/>
        <w:contextualSpacing w:val="0"/>
        <w:jc w:val="center"/>
        <w:rPr>
          <w:rFonts w:cs="Arial"/>
          <w:sz w:val="28"/>
          <w:szCs w:val="28"/>
        </w:rPr>
      </w:pPr>
      <w:r>
        <w:rPr>
          <w:rFonts w:cs="Arial"/>
          <w:sz w:val="28"/>
          <w:szCs w:val="28"/>
        </w:rPr>
        <w:t>João Paulo Kuster Baldan</w:t>
      </w:r>
    </w:p>
    <w:p w:rsidR="0099119A" w:rsidRDefault="0099119A" w:rsidP="0099119A">
      <w:pPr>
        <w:autoSpaceDE w:val="0"/>
        <w:autoSpaceDN w:val="0"/>
        <w:adjustRightInd w:val="0"/>
        <w:contextualSpacing w:val="0"/>
        <w:jc w:val="left"/>
        <w:rPr>
          <w:rFonts w:cs="Arial"/>
          <w:b/>
          <w:bCs/>
          <w:sz w:val="28"/>
          <w:szCs w:val="28"/>
        </w:rPr>
      </w:pPr>
    </w:p>
    <w:p w:rsidR="0099119A" w:rsidRDefault="0099119A" w:rsidP="0099119A">
      <w:pPr>
        <w:autoSpaceDE w:val="0"/>
        <w:autoSpaceDN w:val="0"/>
        <w:adjustRightInd w:val="0"/>
        <w:contextualSpacing w:val="0"/>
        <w:jc w:val="left"/>
        <w:rPr>
          <w:rFonts w:cs="Arial"/>
          <w:b/>
          <w:bCs/>
          <w:sz w:val="28"/>
          <w:szCs w:val="28"/>
        </w:rPr>
      </w:pPr>
    </w:p>
    <w:p w:rsidR="007902F3" w:rsidRDefault="007902F3" w:rsidP="0099119A">
      <w:pPr>
        <w:autoSpaceDE w:val="0"/>
        <w:autoSpaceDN w:val="0"/>
        <w:adjustRightInd w:val="0"/>
        <w:contextualSpacing w:val="0"/>
        <w:jc w:val="left"/>
        <w:rPr>
          <w:rFonts w:cs="Arial"/>
          <w:b/>
          <w:bCs/>
          <w:sz w:val="28"/>
          <w:szCs w:val="28"/>
        </w:rPr>
      </w:pPr>
    </w:p>
    <w:p w:rsidR="007902F3" w:rsidRDefault="007902F3" w:rsidP="0099119A">
      <w:pPr>
        <w:autoSpaceDE w:val="0"/>
        <w:autoSpaceDN w:val="0"/>
        <w:adjustRightInd w:val="0"/>
        <w:spacing w:after="0"/>
        <w:contextualSpacing w:val="0"/>
        <w:jc w:val="left"/>
        <w:rPr>
          <w:rFonts w:cs="Arial"/>
          <w:b/>
          <w:bCs/>
          <w:sz w:val="28"/>
          <w:szCs w:val="28"/>
        </w:rPr>
      </w:pPr>
    </w:p>
    <w:p w:rsidR="007902F3" w:rsidRDefault="0099119A" w:rsidP="006A4F89">
      <w:pPr>
        <w:autoSpaceDE w:val="0"/>
        <w:autoSpaceDN w:val="0"/>
        <w:adjustRightInd w:val="0"/>
        <w:spacing w:after="0"/>
        <w:contextualSpacing w:val="0"/>
        <w:jc w:val="center"/>
        <w:rPr>
          <w:rFonts w:cs="Arial"/>
          <w:sz w:val="28"/>
          <w:szCs w:val="28"/>
        </w:rPr>
      </w:pPr>
      <w:r>
        <w:rPr>
          <w:rFonts w:cs="Arial"/>
          <w:b/>
          <w:bCs/>
          <w:sz w:val="28"/>
          <w:szCs w:val="28"/>
        </w:rPr>
        <w:t xml:space="preserve">ANÁLISE DE VIABILIDADE ECONÔMICA DO EFEITO REDUTOR DE ARRASTE NOS ESCOAMENTOS TURBULENTOS EM TUBULAÇÕES </w:t>
      </w:r>
      <w:r w:rsidR="00602083">
        <w:rPr>
          <w:rFonts w:cs="Arial"/>
          <w:b/>
          <w:bCs/>
          <w:sz w:val="28"/>
          <w:szCs w:val="28"/>
        </w:rPr>
        <w:t>POR MEIO DA INJEÇÃO DE ADITIVOS</w:t>
      </w:r>
    </w:p>
    <w:p w:rsidR="007902F3" w:rsidRDefault="007902F3" w:rsidP="007902F3">
      <w:pPr>
        <w:autoSpaceDE w:val="0"/>
        <w:autoSpaceDN w:val="0"/>
        <w:adjustRightInd w:val="0"/>
        <w:spacing w:after="0" w:line="240" w:lineRule="auto"/>
        <w:contextualSpacing w:val="0"/>
        <w:jc w:val="left"/>
        <w:rPr>
          <w:rFonts w:cs="Arial"/>
          <w:sz w:val="28"/>
          <w:szCs w:val="28"/>
        </w:rPr>
      </w:pPr>
    </w:p>
    <w:p w:rsidR="0099119A" w:rsidRDefault="0099119A" w:rsidP="007902F3">
      <w:pPr>
        <w:autoSpaceDE w:val="0"/>
        <w:autoSpaceDN w:val="0"/>
        <w:adjustRightInd w:val="0"/>
        <w:spacing w:after="0" w:line="240" w:lineRule="auto"/>
        <w:contextualSpacing w:val="0"/>
        <w:jc w:val="left"/>
        <w:rPr>
          <w:rFonts w:cs="Arial"/>
          <w:sz w:val="28"/>
          <w:szCs w:val="28"/>
        </w:rPr>
      </w:pPr>
    </w:p>
    <w:p w:rsidR="007902F3" w:rsidRDefault="007902F3" w:rsidP="007902F3">
      <w:pPr>
        <w:autoSpaceDE w:val="0"/>
        <w:autoSpaceDN w:val="0"/>
        <w:adjustRightInd w:val="0"/>
        <w:spacing w:after="0" w:line="240" w:lineRule="auto"/>
        <w:contextualSpacing w:val="0"/>
        <w:jc w:val="left"/>
        <w:rPr>
          <w:rFonts w:cs="Arial"/>
          <w:sz w:val="28"/>
          <w:szCs w:val="28"/>
        </w:rPr>
      </w:pPr>
    </w:p>
    <w:p w:rsidR="007902F3" w:rsidRDefault="007902F3" w:rsidP="007902F3">
      <w:pPr>
        <w:autoSpaceDE w:val="0"/>
        <w:autoSpaceDN w:val="0"/>
        <w:adjustRightInd w:val="0"/>
        <w:spacing w:after="0" w:line="240" w:lineRule="auto"/>
        <w:contextualSpacing w:val="0"/>
        <w:jc w:val="left"/>
        <w:rPr>
          <w:rFonts w:cs="Arial"/>
          <w:sz w:val="28"/>
          <w:szCs w:val="28"/>
        </w:rPr>
      </w:pPr>
    </w:p>
    <w:p w:rsidR="007902F3" w:rsidRDefault="007902F3" w:rsidP="007902F3">
      <w:pPr>
        <w:autoSpaceDE w:val="0"/>
        <w:autoSpaceDN w:val="0"/>
        <w:adjustRightInd w:val="0"/>
        <w:spacing w:after="0" w:line="240" w:lineRule="auto"/>
        <w:contextualSpacing w:val="0"/>
        <w:jc w:val="left"/>
        <w:rPr>
          <w:rFonts w:cs="Arial"/>
          <w:sz w:val="28"/>
          <w:szCs w:val="28"/>
        </w:rPr>
      </w:pPr>
    </w:p>
    <w:p w:rsidR="007902F3" w:rsidRDefault="007902F3" w:rsidP="007902F3">
      <w:pPr>
        <w:autoSpaceDE w:val="0"/>
        <w:autoSpaceDN w:val="0"/>
        <w:adjustRightInd w:val="0"/>
        <w:spacing w:after="0" w:line="240" w:lineRule="auto"/>
        <w:contextualSpacing w:val="0"/>
        <w:jc w:val="left"/>
        <w:rPr>
          <w:rFonts w:cs="Arial"/>
          <w:sz w:val="28"/>
          <w:szCs w:val="28"/>
        </w:rPr>
      </w:pPr>
    </w:p>
    <w:p w:rsidR="0099119A" w:rsidRDefault="0099119A" w:rsidP="007902F3">
      <w:pPr>
        <w:autoSpaceDE w:val="0"/>
        <w:autoSpaceDN w:val="0"/>
        <w:adjustRightInd w:val="0"/>
        <w:spacing w:after="0" w:line="240" w:lineRule="auto"/>
        <w:contextualSpacing w:val="0"/>
        <w:jc w:val="left"/>
        <w:rPr>
          <w:rFonts w:cs="Arial"/>
          <w:sz w:val="28"/>
          <w:szCs w:val="28"/>
        </w:rPr>
      </w:pPr>
    </w:p>
    <w:p w:rsidR="0099119A" w:rsidRDefault="0099119A" w:rsidP="007902F3">
      <w:pPr>
        <w:autoSpaceDE w:val="0"/>
        <w:autoSpaceDN w:val="0"/>
        <w:adjustRightInd w:val="0"/>
        <w:spacing w:after="0" w:line="240" w:lineRule="auto"/>
        <w:contextualSpacing w:val="0"/>
        <w:jc w:val="left"/>
        <w:rPr>
          <w:rFonts w:cs="Arial"/>
          <w:sz w:val="28"/>
          <w:szCs w:val="28"/>
        </w:rPr>
      </w:pPr>
    </w:p>
    <w:p w:rsidR="007902F3" w:rsidRDefault="007902F3" w:rsidP="007902F3">
      <w:pPr>
        <w:autoSpaceDE w:val="0"/>
        <w:autoSpaceDN w:val="0"/>
        <w:adjustRightInd w:val="0"/>
        <w:spacing w:after="0" w:line="240" w:lineRule="auto"/>
        <w:contextualSpacing w:val="0"/>
        <w:jc w:val="left"/>
        <w:rPr>
          <w:rFonts w:cs="Arial"/>
          <w:sz w:val="28"/>
          <w:szCs w:val="28"/>
        </w:rPr>
      </w:pPr>
    </w:p>
    <w:p w:rsidR="0099119A" w:rsidRDefault="0099119A" w:rsidP="007902F3">
      <w:pPr>
        <w:autoSpaceDE w:val="0"/>
        <w:autoSpaceDN w:val="0"/>
        <w:adjustRightInd w:val="0"/>
        <w:spacing w:after="0" w:line="240" w:lineRule="auto"/>
        <w:contextualSpacing w:val="0"/>
        <w:jc w:val="left"/>
        <w:rPr>
          <w:rFonts w:cs="Arial"/>
          <w:sz w:val="28"/>
          <w:szCs w:val="28"/>
        </w:rPr>
      </w:pPr>
    </w:p>
    <w:p w:rsidR="007902F3" w:rsidRDefault="007902F3" w:rsidP="007902F3">
      <w:pPr>
        <w:autoSpaceDE w:val="0"/>
        <w:autoSpaceDN w:val="0"/>
        <w:adjustRightInd w:val="0"/>
        <w:spacing w:after="0" w:line="240" w:lineRule="auto"/>
        <w:contextualSpacing w:val="0"/>
        <w:jc w:val="left"/>
        <w:rPr>
          <w:rFonts w:cs="Arial"/>
          <w:sz w:val="28"/>
          <w:szCs w:val="28"/>
        </w:rPr>
      </w:pPr>
    </w:p>
    <w:p w:rsidR="007902F3" w:rsidRDefault="007902F3" w:rsidP="007902F3">
      <w:pPr>
        <w:autoSpaceDE w:val="0"/>
        <w:autoSpaceDN w:val="0"/>
        <w:adjustRightInd w:val="0"/>
        <w:spacing w:after="0" w:line="240" w:lineRule="auto"/>
        <w:contextualSpacing w:val="0"/>
        <w:jc w:val="left"/>
        <w:rPr>
          <w:rFonts w:cs="Arial"/>
          <w:sz w:val="28"/>
          <w:szCs w:val="28"/>
        </w:rPr>
      </w:pPr>
    </w:p>
    <w:p w:rsidR="007902F3" w:rsidRDefault="007902F3" w:rsidP="007902F3">
      <w:pPr>
        <w:autoSpaceDE w:val="0"/>
        <w:autoSpaceDN w:val="0"/>
        <w:adjustRightInd w:val="0"/>
        <w:spacing w:after="0" w:line="240" w:lineRule="auto"/>
        <w:contextualSpacing w:val="0"/>
        <w:jc w:val="left"/>
        <w:rPr>
          <w:rFonts w:cs="Arial"/>
          <w:sz w:val="28"/>
          <w:szCs w:val="28"/>
        </w:rPr>
      </w:pPr>
    </w:p>
    <w:p w:rsidR="007902F3" w:rsidRDefault="007902F3" w:rsidP="007902F3">
      <w:pPr>
        <w:autoSpaceDE w:val="0"/>
        <w:autoSpaceDN w:val="0"/>
        <w:adjustRightInd w:val="0"/>
        <w:spacing w:after="0" w:line="240" w:lineRule="auto"/>
        <w:contextualSpacing w:val="0"/>
        <w:jc w:val="left"/>
        <w:rPr>
          <w:rFonts w:cs="Arial"/>
          <w:sz w:val="28"/>
          <w:szCs w:val="28"/>
        </w:rPr>
      </w:pPr>
    </w:p>
    <w:p w:rsidR="007902F3" w:rsidRDefault="007902F3" w:rsidP="007902F3">
      <w:pPr>
        <w:autoSpaceDE w:val="0"/>
        <w:autoSpaceDN w:val="0"/>
        <w:adjustRightInd w:val="0"/>
        <w:spacing w:after="0" w:line="240" w:lineRule="auto"/>
        <w:contextualSpacing w:val="0"/>
        <w:jc w:val="left"/>
        <w:rPr>
          <w:rFonts w:cs="Arial"/>
          <w:sz w:val="28"/>
          <w:szCs w:val="28"/>
        </w:rPr>
      </w:pPr>
    </w:p>
    <w:p w:rsidR="002B09BB" w:rsidRDefault="002B09BB" w:rsidP="007902F3">
      <w:pPr>
        <w:autoSpaceDE w:val="0"/>
        <w:autoSpaceDN w:val="0"/>
        <w:adjustRightInd w:val="0"/>
        <w:spacing w:after="0" w:line="240" w:lineRule="auto"/>
        <w:contextualSpacing w:val="0"/>
        <w:jc w:val="left"/>
        <w:rPr>
          <w:rFonts w:cs="Arial"/>
          <w:sz w:val="28"/>
          <w:szCs w:val="28"/>
        </w:rPr>
      </w:pPr>
    </w:p>
    <w:p w:rsidR="007902F3" w:rsidRDefault="007902F3" w:rsidP="007902F3">
      <w:pPr>
        <w:autoSpaceDE w:val="0"/>
        <w:autoSpaceDN w:val="0"/>
        <w:adjustRightInd w:val="0"/>
        <w:spacing w:after="0" w:line="240" w:lineRule="auto"/>
        <w:contextualSpacing w:val="0"/>
        <w:jc w:val="left"/>
        <w:rPr>
          <w:rFonts w:cs="Arial"/>
          <w:sz w:val="28"/>
          <w:szCs w:val="28"/>
        </w:rPr>
      </w:pPr>
    </w:p>
    <w:p w:rsidR="0099119A" w:rsidRDefault="0099119A" w:rsidP="007902F3">
      <w:pPr>
        <w:autoSpaceDE w:val="0"/>
        <w:autoSpaceDN w:val="0"/>
        <w:adjustRightInd w:val="0"/>
        <w:spacing w:after="0"/>
        <w:contextualSpacing w:val="0"/>
        <w:jc w:val="center"/>
        <w:rPr>
          <w:rFonts w:cs="Arial"/>
          <w:sz w:val="28"/>
          <w:szCs w:val="28"/>
        </w:rPr>
      </w:pPr>
      <w:r>
        <w:rPr>
          <w:rFonts w:cs="Arial"/>
          <w:sz w:val="28"/>
          <w:szCs w:val="28"/>
        </w:rPr>
        <w:t>VITÓRIA</w:t>
      </w:r>
    </w:p>
    <w:p w:rsidR="006D6AA3" w:rsidRDefault="0099119A" w:rsidP="007902F3">
      <w:pPr>
        <w:spacing w:after="0"/>
        <w:jc w:val="center"/>
        <w:rPr>
          <w:rFonts w:cs="Arial"/>
          <w:sz w:val="28"/>
          <w:szCs w:val="28"/>
        </w:rPr>
      </w:pPr>
      <w:r>
        <w:rPr>
          <w:rFonts w:cs="Arial"/>
          <w:sz w:val="28"/>
          <w:szCs w:val="28"/>
        </w:rPr>
        <w:t>2017</w:t>
      </w:r>
    </w:p>
    <w:p w:rsidR="007902F3" w:rsidRPr="009F0977" w:rsidRDefault="007902F3" w:rsidP="007902F3">
      <w:pPr>
        <w:autoSpaceDE w:val="0"/>
        <w:autoSpaceDN w:val="0"/>
        <w:adjustRightInd w:val="0"/>
        <w:spacing w:line="240" w:lineRule="auto"/>
        <w:contextualSpacing w:val="0"/>
        <w:jc w:val="center"/>
        <w:rPr>
          <w:rFonts w:cs="Arial"/>
          <w:sz w:val="28"/>
          <w:szCs w:val="24"/>
        </w:rPr>
      </w:pPr>
      <w:r w:rsidRPr="009F0977">
        <w:rPr>
          <w:rFonts w:cs="Arial"/>
          <w:sz w:val="28"/>
          <w:szCs w:val="24"/>
        </w:rPr>
        <w:lastRenderedPageBreak/>
        <w:t>JHONNILO SOARES CUNHA</w:t>
      </w:r>
    </w:p>
    <w:p w:rsidR="007902F3" w:rsidRPr="009F0977" w:rsidRDefault="007902F3" w:rsidP="007902F3">
      <w:pPr>
        <w:autoSpaceDE w:val="0"/>
        <w:autoSpaceDN w:val="0"/>
        <w:adjustRightInd w:val="0"/>
        <w:spacing w:line="240" w:lineRule="auto"/>
        <w:contextualSpacing w:val="0"/>
        <w:jc w:val="center"/>
        <w:rPr>
          <w:rFonts w:cs="Arial"/>
          <w:sz w:val="28"/>
          <w:szCs w:val="24"/>
        </w:rPr>
      </w:pPr>
      <w:r w:rsidRPr="009F0977">
        <w:rPr>
          <w:rFonts w:cs="Arial"/>
          <w:sz w:val="28"/>
          <w:szCs w:val="24"/>
        </w:rPr>
        <w:t>JOÃO PAULO KUSTER BALDAN</w:t>
      </w:r>
    </w:p>
    <w:p w:rsidR="007902F3" w:rsidRDefault="007902F3" w:rsidP="00F3071A">
      <w:pPr>
        <w:spacing w:line="240" w:lineRule="auto"/>
        <w:rPr>
          <w:rFonts w:cs="Arial"/>
          <w:szCs w:val="24"/>
        </w:rPr>
      </w:pPr>
    </w:p>
    <w:p w:rsidR="00F3071A" w:rsidRPr="009F0977" w:rsidRDefault="00F3071A" w:rsidP="00F3071A">
      <w:pPr>
        <w:spacing w:line="240" w:lineRule="auto"/>
        <w:rPr>
          <w:rFonts w:cs="Arial"/>
          <w:szCs w:val="24"/>
        </w:rPr>
      </w:pPr>
    </w:p>
    <w:p w:rsidR="007902F3" w:rsidRPr="007902F3" w:rsidRDefault="007902F3" w:rsidP="00F3071A">
      <w:pPr>
        <w:autoSpaceDE w:val="0"/>
        <w:autoSpaceDN w:val="0"/>
        <w:adjustRightInd w:val="0"/>
        <w:contextualSpacing w:val="0"/>
        <w:rPr>
          <w:rFonts w:cs="Arial"/>
          <w:sz w:val="28"/>
          <w:szCs w:val="28"/>
        </w:rPr>
      </w:pPr>
    </w:p>
    <w:p w:rsidR="007902F3" w:rsidRPr="007902F3" w:rsidRDefault="007902F3" w:rsidP="00F3071A">
      <w:pPr>
        <w:autoSpaceDE w:val="0"/>
        <w:autoSpaceDN w:val="0"/>
        <w:adjustRightInd w:val="0"/>
        <w:contextualSpacing w:val="0"/>
        <w:rPr>
          <w:rFonts w:cs="Arial"/>
          <w:sz w:val="28"/>
          <w:szCs w:val="28"/>
        </w:rPr>
      </w:pPr>
    </w:p>
    <w:p w:rsidR="007902F3" w:rsidRPr="007902F3" w:rsidRDefault="007902F3" w:rsidP="00F3071A">
      <w:pPr>
        <w:autoSpaceDE w:val="0"/>
        <w:autoSpaceDN w:val="0"/>
        <w:adjustRightInd w:val="0"/>
        <w:contextualSpacing w:val="0"/>
        <w:rPr>
          <w:rFonts w:cs="Arial"/>
          <w:sz w:val="28"/>
          <w:szCs w:val="28"/>
        </w:rPr>
      </w:pPr>
    </w:p>
    <w:p w:rsidR="007902F3" w:rsidRPr="007902F3" w:rsidRDefault="007902F3" w:rsidP="00F3071A">
      <w:pPr>
        <w:autoSpaceDE w:val="0"/>
        <w:autoSpaceDN w:val="0"/>
        <w:adjustRightInd w:val="0"/>
        <w:contextualSpacing w:val="0"/>
        <w:rPr>
          <w:rFonts w:cs="Arial"/>
          <w:sz w:val="28"/>
          <w:szCs w:val="28"/>
        </w:rPr>
      </w:pPr>
    </w:p>
    <w:p w:rsidR="007902F3" w:rsidRPr="007902F3" w:rsidRDefault="007902F3" w:rsidP="00F3071A">
      <w:pPr>
        <w:autoSpaceDE w:val="0"/>
        <w:autoSpaceDN w:val="0"/>
        <w:adjustRightInd w:val="0"/>
        <w:contextualSpacing w:val="0"/>
        <w:rPr>
          <w:rFonts w:cs="Arial"/>
          <w:sz w:val="28"/>
          <w:szCs w:val="28"/>
        </w:rPr>
      </w:pPr>
    </w:p>
    <w:p w:rsidR="007902F3" w:rsidRPr="007902F3" w:rsidRDefault="007902F3" w:rsidP="00F3071A">
      <w:pPr>
        <w:autoSpaceDE w:val="0"/>
        <w:autoSpaceDN w:val="0"/>
        <w:adjustRightInd w:val="0"/>
        <w:contextualSpacing w:val="0"/>
        <w:rPr>
          <w:rFonts w:cs="Arial"/>
          <w:sz w:val="28"/>
          <w:szCs w:val="28"/>
        </w:rPr>
      </w:pPr>
    </w:p>
    <w:p w:rsidR="007902F3" w:rsidRPr="007902F3" w:rsidRDefault="007902F3" w:rsidP="00F3071A">
      <w:pPr>
        <w:autoSpaceDE w:val="0"/>
        <w:autoSpaceDN w:val="0"/>
        <w:adjustRightInd w:val="0"/>
        <w:contextualSpacing w:val="0"/>
        <w:rPr>
          <w:rFonts w:cs="Arial"/>
          <w:sz w:val="28"/>
          <w:szCs w:val="28"/>
        </w:rPr>
      </w:pPr>
    </w:p>
    <w:p w:rsidR="007902F3" w:rsidRDefault="007902F3" w:rsidP="007902F3">
      <w:pPr>
        <w:autoSpaceDE w:val="0"/>
        <w:autoSpaceDN w:val="0"/>
        <w:adjustRightInd w:val="0"/>
        <w:spacing w:after="0"/>
        <w:contextualSpacing w:val="0"/>
        <w:jc w:val="center"/>
        <w:rPr>
          <w:rFonts w:cs="Arial"/>
          <w:b/>
          <w:bCs/>
          <w:sz w:val="28"/>
          <w:szCs w:val="28"/>
        </w:rPr>
      </w:pPr>
      <w:r>
        <w:rPr>
          <w:rFonts w:cs="Arial"/>
          <w:b/>
          <w:bCs/>
          <w:sz w:val="28"/>
          <w:szCs w:val="28"/>
        </w:rPr>
        <w:t>ANÁLISE DE VIABILIDADE ECONÔMICA DO EFEITO REDUTOR DE ARRASTE NOS ESCOAMENTOS TURBULENTOS EM TUBULAÇÕES ATRAVÉS DE SOLUÇÕES ADITIVADAS</w:t>
      </w:r>
    </w:p>
    <w:p w:rsidR="007902F3" w:rsidRDefault="007902F3" w:rsidP="00F3071A">
      <w:pPr>
        <w:autoSpaceDE w:val="0"/>
        <w:autoSpaceDN w:val="0"/>
        <w:adjustRightInd w:val="0"/>
        <w:spacing w:after="0" w:line="240" w:lineRule="auto"/>
        <w:contextualSpacing w:val="0"/>
        <w:rPr>
          <w:rFonts w:cs="Arial"/>
          <w:sz w:val="28"/>
          <w:szCs w:val="28"/>
        </w:rPr>
      </w:pPr>
    </w:p>
    <w:p w:rsidR="007902F3" w:rsidRDefault="007902F3" w:rsidP="00F3071A">
      <w:pPr>
        <w:spacing w:line="240" w:lineRule="auto"/>
        <w:rPr>
          <w:rFonts w:ascii="Times New Roman" w:hAnsi="Times New Roman" w:cs="Times New Roman"/>
          <w:szCs w:val="24"/>
        </w:rPr>
      </w:pPr>
    </w:p>
    <w:p w:rsidR="007902F3" w:rsidRDefault="007902F3" w:rsidP="00F3071A">
      <w:pPr>
        <w:spacing w:line="240" w:lineRule="auto"/>
        <w:rPr>
          <w:rFonts w:ascii="Times New Roman" w:hAnsi="Times New Roman" w:cs="Times New Roman"/>
          <w:szCs w:val="24"/>
        </w:rPr>
      </w:pPr>
    </w:p>
    <w:p w:rsidR="00823847" w:rsidRDefault="00823847" w:rsidP="00F3071A">
      <w:pPr>
        <w:spacing w:line="240" w:lineRule="auto"/>
        <w:rPr>
          <w:rFonts w:ascii="Times New Roman" w:hAnsi="Times New Roman" w:cs="Times New Roman"/>
          <w:szCs w:val="24"/>
        </w:rPr>
      </w:pPr>
    </w:p>
    <w:p w:rsidR="007902F3" w:rsidRDefault="007902F3" w:rsidP="00F3071A">
      <w:pPr>
        <w:spacing w:line="240" w:lineRule="auto"/>
        <w:ind w:left="4536"/>
        <w:rPr>
          <w:rFonts w:ascii="Times New Roman" w:hAnsi="Times New Roman" w:cs="Times New Roman"/>
          <w:szCs w:val="24"/>
        </w:rPr>
      </w:pPr>
    </w:p>
    <w:p w:rsidR="007902F3" w:rsidRDefault="007902F3" w:rsidP="00823847">
      <w:pPr>
        <w:pStyle w:val="Default"/>
        <w:spacing w:line="360" w:lineRule="auto"/>
        <w:ind w:left="4536"/>
        <w:jc w:val="both"/>
        <w:rPr>
          <w:szCs w:val="28"/>
        </w:rPr>
      </w:pPr>
      <w:r w:rsidRPr="00CA4B9B">
        <w:t>Trabalho de conclusão de</w:t>
      </w:r>
      <w:r>
        <w:t xml:space="preserve"> curso apresentado à disciplina Projeto de Graduação II</w:t>
      </w:r>
      <w:r w:rsidRPr="00CA4B9B">
        <w:t xml:space="preserve">, sob a </w:t>
      </w:r>
      <w:r>
        <w:t>orientação do docente</w:t>
      </w:r>
      <w:r w:rsidR="00F3071A">
        <w:t xml:space="preserve"> Prof. </w:t>
      </w:r>
      <w:r w:rsidR="00823847" w:rsidRPr="0064113E">
        <w:t>Bruno Venturini Loureiro</w:t>
      </w:r>
      <w:r w:rsidR="00F3071A">
        <w:t>, Dsc.</w:t>
      </w:r>
      <w:r w:rsidR="00823847">
        <w:t xml:space="preserve">, </w:t>
      </w:r>
      <w:r w:rsidR="00823847" w:rsidRPr="00CA4B9B">
        <w:t>com o objetivo de</w:t>
      </w:r>
      <w:r w:rsidR="00823847">
        <w:t xml:space="preserve"> cumprimento do requisito parcial para obtenção do grau de Engenheiro Mecânico.</w:t>
      </w:r>
    </w:p>
    <w:p w:rsidR="007902F3" w:rsidRDefault="007902F3" w:rsidP="00F3071A">
      <w:pPr>
        <w:spacing w:line="240" w:lineRule="auto"/>
        <w:ind w:left="4536"/>
        <w:jc w:val="left"/>
        <w:rPr>
          <w:rFonts w:cs="Arial"/>
          <w:szCs w:val="28"/>
        </w:rPr>
      </w:pPr>
    </w:p>
    <w:p w:rsidR="007902F3" w:rsidRDefault="007902F3" w:rsidP="00F3071A">
      <w:pPr>
        <w:spacing w:line="240" w:lineRule="auto"/>
        <w:ind w:left="4536"/>
        <w:jc w:val="left"/>
        <w:rPr>
          <w:rFonts w:cs="Arial"/>
          <w:szCs w:val="28"/>
        </w:rPr>
      </w:pPr>
    </w:p>
    <w:p w:rsidR="007902F3" w:rsidRDefault="007902F3" w:rsidP="00F3071A">
      <w:pPr>
        <w:spacing w:line="240" w:lineRule="auto"/>
        <w:ind w:left="4536"/>
        <w:jc w:val="left"/>
        <w:rPr>
          <w:rFonts w:cs="Arial"/>
          <w:szCs w:val="28"/>
        </w:rPr>
      </w:pPr>
    </w:p>
    <w:p w:rsidR="00823847" w:rsidRDefault="00823847" w:rsidP="00F3071A">
      <w:pPr>
        <w:spacing w:line="240" w:lineRule="auto"/>
        <w:ind w:left="4536"/>
        <w:jc w:val="left"/>
        <w:rPr>
          <w:rFonts w:cs="Arial"/>
          <w:szCs w:val="28"/>
        </w:rPr>
      </w:pPr>
    </w:p>
    <w:p w:rsidR="00F3071A" w:rsidRDefault="00F3071A" w:rsidP="00F3071A">
      <w:pPr>
        <w:spacing w:line="240" w:lineRule="auto"/>
        <w:ind w:left="4536"/>
        <w:jc w:val="left"/>
        <w:rPr>
          <w:rFonts w:cs="Arial"/>
          <w:szCs w:val="28"/>
        </w:rPr>
      </w:pPr>
    </w:p>
    <w:p w:rsidR="007902F3" w:rsidRDefault="007902F3" w:rsidP="007902F3">
      <w:pPr>
        <w:autoSpaceDE w:val="0"/>
        <w:autoSpaceDN w:val="0"/>
        <w:adjustRightInd w:val="0"/>
        <w:spacing w:after="0"/>
        <w:contextualSpacing w:val="0"/>
        <w:jc w:val="center"/>
        <w:rPr>
          <w:rFonts w:cs="Arial"/>
          <w:sz w:val="28"/>
          <w:szCs w:val="28"/>
        </w:rPr>
      </w:pPr>
      <w:r>
        <w:rPr>
          <w:rFonts w:cs="Arial"/>
          <w:sz w:val="28"/>
          <w:szCs w:val="28"/>
        </w:rPr>
        <w:t>VITÓRIA</w:t>
      </w:r>
    </w:p>
    <w:p w:rsidR="007902F3" w:rsidRDefault="007902F3" w:rsidP="007902F3">
      <w:pPr>
        <w:spacing w:after="0"/>
        <w:jc w:val="center"/>
        <w:rPr>
          <w:rFonts w:cs="Arial"/>
          <w:sz w:val="28"/>
          <w:szCs w:val="28"/>
        </w:rPr>
      </w:pPr>
      <w:r>
        <w:rPr>
          <w:rFonts w:cs="Arial"/>
          <w:sz w:val="28"/>
          <w:szCs w:val="28"/>
        </w:rPr>
        <w:t>2017</w:t>
      </w:r>
    </w:p>
    <w:p w:rsidR="009D358A" w:rsidRDefault="009D358A" w:rsidP="009D358A">
      <w:pPr>
        <w:pStyle w:val="Nvel1-PG"/>
        <w:rPr>
          <w:sz w:val="28"/>
        </w:rPr>
      </w:pPr>
      <w:bookmarkStart w:id="0" w:name="_Toc488678318"/>
      <w:r>
        <w:rPr>
          <w:sz w:val="28"/>
        </w:rPr>
        <w:lastRenderedPageBreak/>
        <w:t>AGRADECIMENTOS</w:t>
      </w:r>
      <w:bookmarkEnd w:id="0"/>
    </w:p>
    <w:p w:rsidR="004B5AEA" w:rsidRDefault="009D358A" w:rsidP="009D358A">
      <w:r>
        <w:t xml:space="preserve">Agradecemos, primeiramente, às nossas famílias por todo o apoio dado ao longo de toda a graduação e, principalmente, durante a elaboração </w:t>
      </w:r>
      <w:r w:rsidR="004B5AEA">
        <w:t>deste projeto.</w:t>
      </w:r>
    </w:p>
    <w:p w:rsidR="009D358A" w:rsidRPr="006A05F9" w:rsidRDefault="004B5AEA" w:rsidP="009D358A">
      <w:pPr>
        <w:rPr>
          <w:color w:val="000000" w:themeColor="text1"/>
        </w:rPr>
      </w:pPr>
      <w:r>
        <w:t>Eu, Jhonnilo Soares Cunha, agradeço aos meus pais, Nilo Cunha Neto e Maria das Dores Soares Cunha, por terem sempre acreditado em meu potencial, incentivando e investido em meu desenvolvimento pessoal, dando todo o fomento necessário</w:t>
      </w:r>
      <w:r w:rsidR="006A05F9">
        <w:t xml:space="preserve"> para</w:t>
      </w:r>
      <w:r>
        <w:t xml:space="preserve"> que fosse possível adquirir novos conhecimentos.</w:t>
      </w:r>
      <w:r w:rsidR="00E11514">
        <w:t xml:space="preserve"> Agradeço ao meu irmão Jonatha Soares Viana</w:t>
      </w:r>
      <w:r w:rsidR="00183DF2">
        <w:t xml:space="preserve"> </w:t>
      </w:r>
      <w:r w:rsidR="00D83C6E">
        <w:t xml:space="preserve">e demais amigos </w:t>
      </w:r>
      <w:bookmarkStart w:id="1" w:name="_GoBack"/>
      <w:bookmarkEnd w:id="1"/>
      <w:r w:rsidR="00183DF2">
        <w:t xml:space="preserve">por todo o apoio moral </w:t>
      </w:r>
      <w:r w:rsidR="00183DF2" w:rsidRPr="006A05F9">
        <w:rPr>
          <w:color w:val="000000" w:themeColor="text1"/>
        </w:rPr>
        <w:t>concedido com muito entusiasmo ao longo desta jornada.</w:t>
      </w:r>
    </w:p>
    <w:p w:rsidR="004D3E75" w:rsidRPr="006A05F9" w:rsidRDefault="004D3E75" w:rsidP="009D358A">
      <w:pPr>
        <w:rPr>
          <w:color w:val="000000" w:themeColor="text1"/>
        </w:rPr>
      </w:pPr>
      <w:r w:rsidRPr="006A05F9">
        <w:rPr>
          <w:color w:val="000000" w:themeColor="text1"/>
        </w:rPr>
        <w:t>Eu, João Paulo Kuster Baldan, agradeço</w:t>
      </w:r>
      <w:r w:rsidR="000069FA" w:rsidRPr="006A05F9">
        <w:rPr>
          <w:color w:val="000000" w:themeColor="text1"/>
        </w:rPr>
        <w:t xml:space="preserve"> primeiramente a Deus por ter me guiado com saúde e perseverança em todos os meus anos como universitário. Agradeço aos meus pais, Paulo Sérgio Baldan e Erna Kuster Baldan, por </w:t>
      </w:r>
      <w:r w:rsidR="006A05F9">
        <w:rPr>
          <w:color w:val="000000" w:themeColor="text1"/>
        </w:rPr>
        <w:t xml:space="preserve">sempre se preocuparem </w:t>
      </w:r>
      <w:r w:rsidR="000069FA" w:rsidRPr="006A05F9">
        <w:rPr>
          <w:color w:val="000000" w:themeColor="text1"/>
        </w:rPr>
        <w:t>com meus estudos</w:t>
      </w:r>
      <w:r w:rsidR="006A05F9">
        <w:rPr>
          <w:color w:val="000000" w:themeColor="text1"/>
        </w:rPr>
        <w:t xml:space="preserve"> e desenvolvimento pessoal</w:t>
      </w:r>
      <w:r w:rsidR="000069FA" w:rsidRPr="006A05F9">
        <w:rPr>
          <w:color w:val="000000" w:themeColor="text1"/>
        </w:rPr>
        <w:t>, e por todo amor, incentivo e apoio incondicional</w:t>
      </w:r>
      <w:r w:rsidR="006A05F9">
        <w:rPr>
          <w:color w:val="000000" w:themeColor="text1"/>
        </w:rPr>
        <w:t xml:space="preserve"> recebido</w:t>
      </w:r>
      <w:r w:rsidR="000069FA" w:rsidRPr="006A05F9">
        <w:rPr>
          <w:color w:val="000000" w:themeColor="text1"/>
        </w:rPr>
        <w:t>. Agradeço a minha irmã Laila Kuster Baldan</w:t>
      </w:r>
      <w:r w:rsidR="006A05F9" w:rsidRPr="006A05F9">
        <w:rPr>
          <w:color w:val="000000" w:themeColor="text1"/>
        </w:rPr>
        <w:t xml:space="preserve">, pela parceria e companheirismo </w:t>
      </w:r>
      <w:r w:rsidR="006A05F9">
        <w:rPr>
          <w:color w:val="000000" w:themeColor="text1"/>
        </w:rPr>
        <w:t>durante</w:t>
      </w:r>
      <w:r w:rsidR="006A05F9" w:rsidRPr="006A05F9">
        <w:rPr>
          <w:color w:val="000000" w:themeColor="text1"/>
        </w:rPr>
        <w:t xml:space="preserve"> grande parte </w:t>
      </w:r>
      <w:r w:rsidR="000069FA" w:rsidRPr="006A05F9">
        <w:rPr>
          <w:color w:val="000000" w:themeColor="text1"/>
        </w:rPr>
        <w:t xml:space="preserve">da </w:t>
      </w:r>
      <w:r w:rsidR="006A05F9" w:rsidRPr="006A05F9">
        <w:rPr>
          <w:color w:val="000000" w:themeColor="text1"/>
        </w:rPr>
        <w:t xml:space="preserve">minha </w:t>
      </w:r>
      <w:r w:rsidR="000069FA" w:rsidRPr="006A05F9">
        <w:rPr>
          <w:color w:val="000000" w:themeColor="text1"/>
        </w:rPr>
        <w:t>vida acadêmica</w:t>
      </w:r>
      <w:r w:rsidR="006A05F9">
        <w:rPr>
          <w:color w:val="000000" w:themeColor="text1"/>
        </w:rPr>
        <w:t xml:space="preserve"> e a todos que direta ou indiretamente contribuíram com a minha formação.</w:t>
      </w:r>
    </w:p>
    <w:p w:rsidR="009D358A" w:rsidRDefault="00E11514" w:rsidP="00A8483C">
      <w:r>
        <w:t>Agradecemos ao professor e orientador Bruno Venturini Loureiro D</w:t>
      </w:r>
      <w:r w:rsidR="00A8483C">
        <w:t>sc.</w:t>
      </w:r>
      <w:r>
        <w:t xml:space="preserve"> por nos oferecer a oportunidade de estar conduzindo esta pesquisa</w:t>
      </w:r>
      <w:r w:rsidR="00A8483C">
        <w:t xml:space="preserve"> em um ambiente excelentemente organizado e estruturado; por ser sempre prestativo, atencioso e cuidadoso, expressando magnífico zelo por</w:t>
      </w:r>
      <w:r>
        <w:t xml:space="preserve"> </w:t>
      </w:r>
      <w:r w:rsidR="00A8483C">
        <w:t>seus alunos orientados e por sua equipe.</w:t>
      </w:r>
    </w:p>
    <w:p w:rsidR="00A8483C" w:rsidRDefault="00183DF2" w:rsidP="00A8483C">
      <w:r>
        <w:t>Agradecemos aos professores Michell Costalonga e Lucas Silveira por estarem sempre dispostos a ajudar, disponibilizando o conhecimento avançado que possuem na área deste projeto e auxiliando no planejamento dos experimentos e demais atividades realizadas no laboratório.</w:t>
      </w:r>
    </w:p>
    <w:p w:rsidR="00861D97" w:rsidRDefault="00183DF2" w:rsidP="00A8483C">
      <w:r>
        <w:t xml:space="preserve">Agradecemos em especial </w:t>
      </w:r>
      <w:r w:rsidR="00861D97">
        <w:t xml:space="preserve">os </w:t>
      </w:r>
      <w:r>
        <w:t>nosso</w:t>
      </w:r>
      <w:r w:rsidR="00861D97">
        <w:t>s</w:t>
      </w:r>
      <w:r>
        <w:t xml:space="preserve"> amigo</w:t>
      </w:r>
      <w:r w:rsidR="00861D97">
        <w:t>s</w:t>
      </w:r>
      <w:r>
        <w:t xml:space="preserve"> Lucas </w:t>
      </w:r>
      <w:r w:rsidR="00861D97">
        <w:t xml:space="preserve">Zampirole Brandão e </w:t>
      </w:r>
      <w:r w:rsidR="00861D97" w:rsidRPr="00861D97">
        <w:t xml:space="preserve">Ciro de Almeida Teixeira Neto </w:t>
      </w:r>
      <w:r w:rsidR="00861D97">
        <w:t>pelo apoio técnico dado durante o preparo e a execução dos ensaios.</w:t>
      </w:r>
    </w:p>
    <w:p w:rsidR="00861D97" w:rsidRPr="00A8483C" w:rsidRDefault="00861D97" w:rsidP="00A8483C">
      <w:r>
        <w:t>Agradecemos aos demais amigos e colegas que participaram direta ou indiretamente das nossas vidas, sendo parte do caminho que até então fora construído por nós.</w:t>
      </w:r>
    </w:p>
    <w:p w:rsidR="00A8483C" w:rsidRDefault="00A8483C" w:rsidP="00A8483C">
      <w:pPr>
        <w:spacing w:after="0"/>
        <w:jc w:val="left"/>
        <w:rPr>
          <w:rFonts w:cs="Arial"/>
          <w:sz w:val="28"/>
          <w:szCs w:val="28"/>
        </w:rPr>
      </w:pPr>
    </w:p>
    <w:p w:rsidR="006128B6" w:rsidRDefault="006128B6" w:rsidP="00C66C17">
      <w:pPr>
        <w:pStyle w:val="Nvel1-PG"/>
        <w:rPr>
          <w:sz w:val="28"/>
        </w:rPr>
      </w:pPr>
    </w:p>
    <w:p w:rsidR="006A05F9" w:rsidRDefault="006A05F9" w:rsidP="00C66C17">
      <w:pPr>
        <w:pStyle w:val="Nvel1-PG"/>
        <w:rPr>
          <w:sz w:val="28"/>
        </w:rPr>
      </w:pPr>
      <w:bookmarkStart w:id="2" w:name="_Toc488678319"/>
    </w:p>
    <w:p w:rsidR="00C66C17" w:rsidRPr="00C66C17" w:rsidRDefault="00C66C17" w:rsidP="00C66C17">
      <w:pPr>
        <w:pStyle w:val="Nvel1-PG"/>
        <w:rPr>
          <w:sz w:val="28"/>
        </w:rPr>
      </w:pPr>
      <w:r w:rsidRPr="00C66C17">
        <w:rPr>
          <w:sz w:val="28"/>
        </w:rPr>
        <w:lastRenderedPageBreak/>
        <w:t>RESUMO</w:t>
      </w:r>
      <w:bookmarkEnd w:id="2"/>
    </w:p>
    <w:p w:rsidR="00C66C17" w:rsidRPr="00C66C17" w:rsidRDefault="00370D56" w:rsidP="00C66C17">
      <w:pPr>
        <w:autoSpaceDE w:val="0"/>
        <w:autoSpaceDN w:val="0"/>
        <w:adjustRightInd w:val="0"/>
        <w:contextualSpacing w:val="0"/>
        <w:rPr>
          <w:rFonts w:cs="Arial"/>
          <w:szCs w:val="24"/>
        </w:rPr>
      </w:pPr>
      <w:r w:rsidRPr="00370D56">
        <w:rPr>
          <w:rFonts w:cs="Arial"/>
          <w:szCs w:val="24"/>
        </w:rPr>
        <w:t>Desde a descoberta do efeito de redução de arraste (</w:t>
      </w:r>
      <w:r>
        <w:rPr>
          <w:rFonts w:cs="Arial"/>
          <w:szCs w:val="24"/>
        </w:rPr>
        <w:t xml:space="preserve">DR) </w:t>
      </w:r>
      <w:r w:rsidRPr="00370D56">
        <w:rPr>
          <w:rFonts w:cs="Arial"/>
          <w:szCs w:val="24"/>
        </w:rPr>
        <w:t xml:space="preserve">a quase 70 anos, este fenômeno vem sendo estudado pela comunidade científica. </w:t>
      </w:r>
      <w:r>
        <w:rPr>
          <w:rFonts w:cs="Arial"/>
          <w:szCs w:val="24"/>
        </w:rPr>
        <w:t>Os r</w:t>
      </w:r>
      <w:r w:rsidRPr="00370D56">
        <w:rPr>
          <w:rFonts w:cs="Arial"/>
          <w:szCs w:val="24"/>
        </w:rPr>
        <w:t xml:space="preserve">esultados sobre os efeitos da redução de arraste na economia de energia encorajam cada vez mais as indústrias de petróleo e gás, química, alimentícia e de medicamentos a investir </w:t>
      </w:r>
      <w:r>
        <w:rPr>
          <w:rFonts w:cs="Arial"/>
          <w:szCs w:val="24"/>
        </w:rPr>
        <w:t xml:space="preserve">em estudos nesta área. </w:t>
      </w:r>
      <w:r w:rsidRPr="00370D56">
        <w:rPr>
          <w:rFonts w:cs="Arial"/>
          <w:szCs w:val="24"/>
        </w:rPr>
        <w:t xml:space="preserve">Todavia, </w:t>
      </w:r>
      <w:r>
        <w:rPr>
          <w:rFonts w:cs="Arial"/>
          <w:szCs w:val="24"/>
        </w:rPr>
        <w:t xml:space="preserve">diversos </w:t>
      </w:r>
      <w:r w:rsidRPr="00370D56">
        <w:rPr>
          <w:rFonts w:cs="Arial"/>
          <w:szCs w:val="24"/>
        </w:rPr>
        <w:t xml:space="preserve">mecanismos compõem </w:t>
      </w:r>
      <w:r>
        <w:rPr>
          <w:rFonts w:cs="Arial"/>
          <w:szCs w:val="24"/>
        </w:rPr>
        <w:t xml:space="preserve">o fenômeno de redução de arraste, o que leva a estudos bem direcionados em aspectos específicos, como o tipo de escoamento. </w:t>
      </w:r>
      <w:r w:rsidR="00C66C17" w:rsidRPr="00C66C17">
        <w:rPr>
          <w:rFonts w:cs="Arial"/>
          <w:szCs w:val="24"/>
        </w:rPr>
        <w:t>O presente trabalho visa investigar a</w:t>
      </w:r>
      <w:r>
        <w:rPr>
          <w:rFonts w:cs="Arial"/>
          <w:szCs w:val="24"/>
        </w:rPr>
        <w:t xml:space="preserve"> economia de energia obtida com a</w:t>
      </w:r>
      <w:r w:rsidR="00C66C17" w:rsidRPr="00C66C17">
        <w:rPr>
          <w:rFonts w:cs="Arial"/>
          <w:szCs w:val="24"/>
        </w:rPr>
        <w:t xml:space="preserve"> adição de polímeros que reduzem a perda de carga oriunda do </w:t>
      </w:r>
      <w:r>
        <w:rPr>
          <w:rFonts w:cs="Arial"/>
          <w:szCs w:val="24"/>
        </w:rPr>
        <w:t xml:space="preserve">escoamento por meio de </w:t>
      </w:r>
      <w:r w:rsidR="00C66C17" w:rsidRPr="00C66C17">
        <w:rPr>
          <w:rFonts w:cs="Arial"/>
          <w:szCs w:val="24"/>
        </w:rPr>
        <w:t>tubulações</w:t>
      </w:r>
      <w:r w:rsidR="00BD28B9">
        <w:rPr>
          <w:rFonts w:cs="Arial"/>
          <w:szCs w:val="24"/>
        </w:rPr>
        <w:t xml:space="preserve"> circulares em plantas fechadas onde </w:t>
      </w:r>
      <w:r w:rsidR="00C66C17">
        <w:rPr>
          <w:rFonts w:cs="Arial"/>
          <w:szCs w:val="24"/>
        </w:rPr>
        <w:t xml:space="preserve">a recirculação do fluido </w:t>
      </w:r>
      <w:r w:rsidR="00BD28B9">
        <w:rPr>
          <w:rFonts w:cs="Arial"/>
          <w:szCs w:val="24"/>
        </w:rPr>
        <w:t xml:space="preserve">é realizada </w:t>
      </w:r>
      <w:r w:rsidR="00C66C17">
        <w:rPr>
          <w:rFonts w:cs="Arial"/>
          <w:szCs w:val="24"/>
        </w:rPr>
        <w:t>por meio de bombas centrífugas</w:t>
      </w:r>
      <w:r w:rsidR="00BD28B9">
        <w:rPr>
          <w:rFonts w:cs="Arial"/>
          <w:szCs w:val="24"/>
        </w:rPr>
        <w:t xml:space="preserve">, além de realizar a </w:t>
      </w:r>
      <w:r w:rsidR="00C66C17" w:rsidRPr="00C66C17">
        <w:rPr>
          <w:rFonts w:cs="Arial"/>
          <w:szCs w:val="24"/>
        </w:rPr>
        <w:t xml:space="preserve">análise da viabilidade econômica </w:t>
      </w:r>
      <w:r w:rsidR="00BD28B9">
        <w:rPr>
          <w:rFonts w:cs="Arial"/>
          <w:szCs w:val="24"/>
        </w:rPr>
        <w:t>com base na receita advinda desta</w:t>
      </w:r>
      <w:r w:rsidR="00C66C17" w:rsidRPr="00C66C17">
        <w:rPr>
          <w:rFonts w:cs="Arial"/>
          <w:szCs w:val="24"/>
        </w:rPr>
        <w:t xml:space="preserve"> economia de energia frente aos custos fixos e variá</w:t>
      </w:r>
      <w:r w:rsidR="00BD28B9">
        <w:rPr>
          <w:rFonts w:cs="Arial"/>
          <w:szCs w:val="24"/>
        </w:rPr>
        <w:t>veis inerentes à aplicação do</w:t>
      </w:r>
      <w:r w:rsidR="00C66C17" w:rsidRPr="00C66C17">
        <w:rPr>
          <w:rFonts w:cs="Arial"/>
          <w:szCs w:val="24"/>
        </w:rPr>
        <w:t xml:space="preserve"> sistema</w:t>
      </w:r>
      <w:r w:rsidR="00BD28B9">
        <w:rPr>
          <w:rFonts w:cs="Arial"/>
          <w:szCs w:val="24"/>
        </w:rPr>
        <w:t xml:space="preserve"> de preparação e injeção da solução aditivada</w:t>
      </w:r>
      <w:r w:rsidR="00C66C17" w:rsidRPr="00C66C17">
        <w:rPr>
          <w:rFonts w:cs="Arial"/>
          <w:szCs w:val="24"/>
        </w:rPr>
        <w:t xml:space="preserve">. Para isso, </w:t>
      </w:r>
      <w:r w:rsidR="00BD28B9">
        <w:rPr>
          <w:rFonts w:cs="Arial"/>
          <w:szCs w:val="24"/>
        </w:rPr>
        <w:t>uma bancada experimental foi utilizada, as soluções preparadas e diversos ensaios de duração média de 06 horas foram realizados</w:t>
      </w:r>
      <w:r w:rsidR="00C66C17" w:rsidRPr="00C66C17">
        <w:rPr>
          <w:rFonts w:cs="Arial"/>
          <w:szCs w:val="24"/>
        </w:rPr>
        <w:t xml:space="preserve"> </w:t>
      </w:r>
      <w:r w:rsidR="00BD28B9">
        <w:rPr>
          <w:rFonts w:cs="Arial"/>
          <w:szCs w:val="24"/>
        </w:rPr>
        <w:t xml:space="preserve">com os </w:t>
      </w:r>
      <w:r w:rsidR="00C66C17" w:rsidRPr="00C66C17">
        <w:rPr>
          <w:rFonts w:cs="Arial"/>
          <w:szCs w:val="24"/>
        </w:rPr>
        <w:t>aditivos Goma Guar e poli(óxido de etileno) - PEO</w:t>
      </w:r>
      <w:r w:rsidR="00BD28B9">
        <w:rPr>
          <w:rFonts w:cs="Arial"/>
          <w:szCs w:val="24"/>
        </w:rPr>
        <w:t xml:space="preserve"> nas</w:t>
      </w:r>
      <w:r w:rsidR="00C66C17" w:rsidRPr="00C66C17">
        <w:rPr>
          <w:rFonts w:cs="Arial"/>
          <w:szCs w:val="24"/>
        </w:rPr>
        <w:t xml:space="preserve"> concentrações </w:t>
      </w:r>
      <w:r w:rsidR="00BD28B9">
        <w:rPr>
          <w:rFonts w:cs="Arial"/>
          <w:szCs w:val="24"/>
        </w:rPr>
        <w:t>de 50, 100 e 200 ppm em Reynolds iguais a 34000 e 68000</w:t>
      </w:r>
      <w:r w:rsidR="00C66C17" w:rsidRPr="00C66C17">
        <w:rPr>
          <w:rFonts w:cs="Arial"/>
          <w:szCs w:val="24"/>
        </w:rPr>
        <w:t>.</w:t>
      </w:r>
      <w:r w:rsidR="00BD28B9">
        <w:rPr>
          <w:rFonts w:cs="Arial"/>
          <w:szCs w:val="24"/>
        </w:rPr>
        <w:t xml:space="preserve"> Misturas entre estes aditivos - os </w:t>
      </w:r>
      <w:r w:rsidR="00BD28B9" w:rsidRPr="00BD28B9">
        <w:rPr>
          <w:rFonts w:cs="Arial"/>
          <w:i/>
          <w:szCs w:val="24"/>
        </w:rPr>
        <w:t>blends</w:t>
      </w:r>
      <w:r w:rsidR="00BD28B9">
        <w:rPr>
          <w:rFonts w:cs="Arial"/>
          <w:szCs w:val="24"/>
        </w:rPr>
        <w:t xml:space="preserve"> - também foram experimentadas para os mesmos números de Reynolds, nas concentrações de 100 e 200 ppm. Destes experimentos foram obtidos os resultados de fator de atrito, redução de arraste e potência ativa para cada solução ao longo do tempo. </w:t>
      </w:r>
      <w:r w:rsidR="009D358A">
        <w:rPr>
          <w:rFonts w:cs="Arial"/>
          <w:szCs w:val="24"/>
        </w:rPr>
        <w:t xml:space="preserve">Estes </w:t>
      </w:r>
      <w:r w:rsidR="00BD28B9">
        <w:rPr>
          <w:rFonts w:cs="Arial"/>
          <w:szCs w:val="24"/>
        </w:rPr>
        <w:t xml:space="preserve">resultados </w:t>
      </w:r>
      <w:r w:rsidR="009D358A">
        <w:rPr>
          <w:rFonts w:cs="Arial"/>
          <w:szCs w:val="24"/>
        </w:rPr>
        <w:t xml:space="preserve">indicam um melhor desempenho de polímeros rígidos em aplicações de maior duração, pois a queda de eficiência ocasionada pela degradação mecânica é menor que em polímeros flexíveis. A aplicação do aditivo Goma Guar a 200 ppm, escolhido para análise devido ao seu melhor desempenho em sistemas de recirculação, </w:t>
      </w:r>
      <w:r w:rsidR="00C66C17" w:rsidRPr="00C66C17">
        <w:rPr>
          <w:rFonts w:cs="Arial"/>
          <w:szCs w:val="24"/>
        </w:rPr>
        <w:t xml:space="preserve">se mostrou economicamente viável em todos os cenários </w:t>
      </w:r>
      <w:r w:rsidR="009D358A">
        <w:rPr>
          <w:rFonts w:cs="Arial"/>
          <w:szCs w:val="24"/>
        </w:rPr>
        <w:t xml:space="preserve">contemplados no </w:t>
      </w:r>
      <w:r w:rsidR="00C66C17" w:rsidRPr="00C66C17">
        <w:rPr>
          <w:rFonts w:cs="Arial"/>
          <w:szCs w:val="24"/>
        </w:rPr>
        <w:t>estudo de caso realizado, sendo uma alternativa rentável para a aplicação em diversas indústrias.</w:t>
      </w:r>
    </w:p>
    <w:p w:rsidR="00C66C17" w:rsidRDefault="00C66C17" w:rsidP="00C66C17">
      <w:pPr>
        <w:autoSpaceDE w:val="0"/>
        <w:autoSpaceDN w:val="0"/>
        <w:adjustRightInd w:val="0"/>
        <w:contextualSpacing w:val="0"/>
        <w:jc w:val="left"/>
        <w:rPr>
          <w:rFonts w:cs="Arial"/>
          <w:szCs w:val="24"/>
        </w:rPr>
      </w:pPr>
    </w:p>
    <w:p w:rsidR="00C66C17" w:rsidRDefault="00C66C17" w:rsidP="006128B6">
      <w:pPr>
        <w:spacing w:after="0"/>
        <w:rPr>
          <w:rFonts w:cs="Arial"/>
          <w:szCs w:val="24"/>
        </w:rPr>
      </w:pPr>
    </w:p>
    <w:p w:rsidR="006128B6" w:rsidRDefault="006128B6" w:rsidP="006128B6">
      <w:pPr>
        <w:spacing w:after="0"/>
        <w:rPr>
          <w:rFonts w:cs="Arial"/>
          <w:sz w:val="28"/>
          <w:szCs w:val="28"/>
        </w:rPr>
      </w:pPr>
    </w:p>
    <w:p w:rsidR="00C66C17" w:rsidRDefault="00C66C17" w:rsidP="007902F3">
      <w:pPr>
        <w:spacing w:after="0"/>
        <w:jc w:val="center"/>
        <w:rPr>
          <w:rFonts w:cs="Arial"/>
          <w:sz w:val="28"/>
          <w:szCs w:val="28"/>
        </w:rPr>
      </w:pPr>
    </w:p>
    <w:p w:rsidR="00C66C17" w:rsidRDefault="00C66C17" w:rsidP="00C66C17">
      <w:pPr>
        <w:spacing w:after="0"/>
        <w:rPr>
          <w:rFonts w:cs="Arial"/>
          <w:sz w:val="28"/>
          <w:szCs w:val="28"/>
        </w:rPr>
      </w:pPr>
    </w:p>
    <w:p w:rsidR="00C66C17" w:rsidRPr="00C66C17" w:rsidRDefault="00C66C17" w:rsidP="00C66C17">
      <w:pPr>
        <w:pStyle w:val="Nvel1-PG"/>
      </w:pPr>
      <w:bookmarkStart w:id="3" w:name="_Toc488678320"/>
      <w:r w:rsidRPr="00C66C17">
        <w:rPr>
          <w:sz w:val="28"/>
        </w:rPr>
        <w:lastRenderedPageBreak/>
        <w:t>LISTA DE FIGURAS</w:t>
      </w:r>
      <w:bookmarkEnd w:id="3"/>
    </w:p>
    <w:p w:rsidR="00260E6B" w:rsidRDefault="00C66C17">
      <w:pPr>
        <w:pStyle w:val="ndicedeilustraes"/>
        <w:tabs>
          <w:tab w:val="right" w:leader="dot" w:pos="9061"/>
        </w:tabs>
        <w:rPr>
          <w:rFonts w:asciiTheme="minorHAnsi" w:eastAsiaTheme="minorEastAsia" w:hAnsiTheme="minorHAnsi"/>
          <w:noProof/>
          <w:sz w:val="22"/>
          <w:lang w:eastAsia="pt-BR"/>
        </w:rPr>
      </w:pPr>
      <w:r>
        <w:rPr>
          <w:rFonts w:cs="Arial"/>
          <w:sz w:val="28"/>
          <w:szCs w:val="28"/>
        </w:rPr>
        <w:fldChar w:fldCharType="begin"/>
      </w:r>
      <w:r>
        <w:rPr>
          <w:rFonts w:cs="Arial"/>
          <w:sz w:val="28"/>
          <w:szCs w:val="28"/>
        </w:rPr>
        <w:instrText xml:space="preserve"> TOC \h \z \c "Figura" </w:instrText>
      </w:r>
      <w:r>
        <w:rPr>
          <w:rFonts w:cs="Arial"/>
          <w:sz w:val="28"/>
          <w:szCs w:val="28"/>
        </w:rPr>
        <w:fldChar w:fldCharType="separate"/>
      </w:r>
      <w:hyperlink w:anchor="_Toc488706042" w:history="1">
        <w:r w:rsidR="00260E6B" w:rsidRPr="006375A2">
          <w:rPr>
            <w:rStyle w:val="Hyperlink"/>
            <w:noProof/>
          </w:rPr>
          <w:t>Figura 1 - Ensaio realizado pelos bombeiros de Nova York, no final da década de 60, comparando jatos de água pura e jatos de água com a adição de 30 ppm de poli(óxido de etileno), ou PEO.</w:t>
        </w:r>
        <w:r w:rsidR="00260E6B">
          <w:rPr>
            <w:noProof/>
            <w:webHidden/>
          </w:rPr>
          <w:tab/>
        </w:r>
        <w:r w:rsidR="00260E6B">
          <w:rPr>
            <w:noProof/>
            <w:webHidden/>
          </w:rPr>
          <w:fldChar w:fldCharType="begin"/>
        </w:r>
        <w:r w:rsidR="00260E6B">
          <w:rPr>
            <w:noProof/>
            <w:webHidden/>
          </w:rPr>
          <w:instrText xml:space="preserve"> PAGEREF _Toc488706042 \h </w:instrText>
        </w:r>
        <w:r w:rsidR="00260E6B">
          <w:rPr>
            <w:noProof/>
            <w:webHidden/>
          </w:rPr>
        </w:r>
        <w:r w:rsidR="00260E6B">
          <w:rPr>
            <w:noProof/>
            <w:webHidden/>
          </w:rPr>
          <w:fldChar w:fldCharType="separate"/>
        </w:r>
        <w:r w:rsidR="00260E6B">
          <w:rPr>
            <w:noProof/>
            <w:webHidden/>
          </w:rPr>
          <w:t>14</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43" w:history="1">
        <w:r w:rsidR="00260E6B" w:rsidRPr="006375A2">
          <w:rPr>
            <w:rStyle w:val="Hyperlink"/>
            <w:noProof/>
          </w:rPr>
          <w:t>Figura 2 - Mapa do oleoduto Trans-Alaska, evidenciando as 12 unidades de bombeamento.</w:t>
        </w:r>
        <w:r w:rsidR="00260E6B">
          <w:rPr>
            <w:noProof/>
            <w:webHidden/>
          </w:rPr>
          <w:tab/>
        </w:r>
        <w:r w:rsidR="00260E6B">
          <w:rPr>
            <w:noProof/>
            <w:webHidden/>
          </w:rPr>
          <w:fldChar w:fldCharType="begin"/>
        </w:r>
        <w:r w:rsidR="00260E6B">
          <w:rPr>
            <w:noProof/>
            <w:webHidden/>
          </w:rPr>
          <w:instrText xml:space="preserve"> PAGEREF _Toc488706043 \h </w:instrText>
        </w:r>
        <w:r w:rsidR="00260E6B">
          <w:rPr>
            <w:noProof/>
            <w:webHidden/>
          </w:rPr>
        </w:r>
        <w:r w:rsidR="00260E6B">
          <w:rPr>
            <w:noProof/>
            <w:webHidden/>
          </w:rPr>
          <w:fldChar w:fldCharType="separate"/>
        </w:r>
        <w:r w:rsidR="00260E6B">
          <w:rPr>
            <w:noProof/>
            <w:webHidden/>
          </w:rPr>
          <w:t>17</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44" w:history="1">
        <w:r w:rsidR="00260E6B" w:rsidRPr="006375A2">
          <w:rPr>
            <w:rStyle w:val="Hyperlink"/>
            <w:noProof/>
          </w:rPr>
          <w:t>Figura 3 - Dados de redução de arraste ao longo do tempo nas tubulações entre as estações de bombeamento PS1, PS2 e PS3 do oleoduto Trans-Alaska.</w:t>
        </w:r>
        <w:r w:rsidR="00260E6B">
          <w:rPr>
            <w:noProof/>
            <w:webHidden/>
          </w:rPr>
          <w:tab/>
        </w:r>
        <w:r w:rsidR="00260E6B">
          <w:rPr>
            <w:noProof/>
            <w:webHidden/>
          </w:rPr>
          <w:fldChar w:fldCharType="begin"/>
        </w:r>
        <w:r w:rsidR="00260E6B">
          <w:rPr>
            <w:noProof/>
            <w:webHidden/>
          </w:rPr>
          <w:instrText xml:space="preserve"> PAGEREF _Toc488706044 \h </w:instrText>
        </w:r>
        <w:r w:rsidR="00260E6B">
          <w:rPr>
            <w:noProof/>
            <w:webHidden/>
          </w:rPr>
        </w:r>
        <w:r w:rsidR="00260E6B">
          <w:rPr>
            <w:noProof/>
            <w:webHidden/>
          </w:rPr>
          <w:fldChar w:fldCharType="separate"/>
        </w:r>
        <w:r w:rsidR="00260E6B">
          <w:rPr>
            <w:noProof/>
            <w:webHidden/>
          </w:rPr>
          <w:t>18</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45" w:history="1">
        <w:r w:rsidR="00260E6B" w:rsidRPr="006375A2">
          <w:rPr>
            <w:rStyle w:val="Hyperlink"/>
            <w:noProof/>
          </w:rPr>
          <w:t>Figura 4 - Configurações de um polímero de acordo com a teoria elástica. Á esquerda um polímero enrolado e à direita sua configuração esticada.</w:t>
        </w:r>
        <w:r w:rsidR="00260E6B">
          <w:rPr>
            <w:noProof/>
            <w:webHidden/>
          </w:rPr>
          <w:tab/>
        </w:r>
        <w:r w:rsidR="00260E6B">
          <w:rPr>
            <w:noProof/>
            <w:webHidden/>
          </w:rPr>
          <w:fldChar w:fldCharType="begin"/>
        </w:r>
        <w:r w:rsidR="00260E6B">
          <w:rPr>
            <w:noProof/>
            <w:webHidden/>
          </w:rPr>
          <w:instrText xml:space="preserve"> PAGEREF _Toc488706045 \h </w:instrText>
        </w:r>
        <w:r w:rsidR="00260E6B">
          <w:rPr>
            <w:noProof/>
            <w:webHidden/>
          </w:rPr>
        </w:r>
        <w:r w:rsidR="00260E6B">
          <w:rPr>
            <w:noProof/>
            <w:webHidden/>
          </w:rPr>
          <w:fldChar w:fldCharType="separate"/>
        </w:r>
        <w:r w:rsidR="00260E6B">
          <w:rPr>
            <w:noProof/>
            <w:webHidden/>
          </w:rPr>
          <w:t>19</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46" w:history="1">
        <w:r w:rsidR="00260E6B" w:rsidRPr="006375A2">
          <w:rPr>
            <w:rStyle w:val="Hyperlink"/>
            <w:noProof/>
          </w:rPr>
          <w:t>Figura 5 - Volume de controle diferencial para análise de escoamento laminar completamente desenvolvido em tubo.</w:t>
        </w:r>
        <w:r w:rsidR="00260E6B">
          <w:rPr>
            <w:noProof/>
            <w:webHidden/>
          </w:rPr>
          <w:tab/>
        </w:r>
        <w:r w:rsidR="00260E6B">
          <w:rPr>
            <w:noProof/>
            <w:webHidden/>
          </w:rPr>
          <w:fldChar w:fldCharType="begin"/>
        </w:r>
        <w:r w:rsidR="00260E6B">
          <w:rPr>
            <w:noProof/>
            <w:webHidden/>
          </w:rPr>
          <w:instrText xml:space="preserve"> PAGEREF _Toc488706046 \h </w:instrText>
        </w:r>
        <w:r w:rsidR="00260E6B">
          <w:rPr>
            <w:noProof/>
            <w:webHidden/>
          </w:rPr>
        </w:r>
        <w:r w:rsidR="00260E6B">
          <w:rPr>
            <w:noProof/>
            <w:webHidden/>
          </w:rPr>
          <w:fldChar w:fldCharType="separate"/>
        </w:r>
        <w:r w:rsidR="00260E6B">
          <w:rPr>
            <w:noProof/>
            <w:webHidden/>
          </w:rPr>
          <w:t>23</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47" w:history="1">
        <w:r w:rsidR="00260E6B" w:rsidRPr="006375A2">
          <w:rPr>
            <w:rStyle w:val="Hyperlink"/>
            <w:noProof/>
          </w:rPr>
          <w:t>Figura 6 - Volume de controle e coordenadas para análise de energia de escoamento através de um tubo.</w:t>
        </w:r>
        <w:r w:rsidR="00260E6B">
          <w:rPr>
            <w:noProof/>
            <w:webHidden/>
          </w:rPr>
          <w:tab/>
        </w:r>
        <w:r w:rsidR="00260E6B">
          <w:rPr>
            <w:noProof/>
            <w:webHidden/>
          </w:rPr>
          <w:fldChar w:fldCharType="begin"/>
        </w:r>
        <w:r w:rsidR="00260E6B">
          <w:rPr>
            <w:noProof/>
            <w:webHidden/>
          </w:rPr>
          <w:instrText xml:space="preserve"> PAGEREF _Toc488706047 \h </w:instrText>
        </w:r>
        <w:r w:rsidR="00260E6B">
          <w:rPr>
            <w:noProof/>
            <w:webHidden/>
          </w:rPr>
        </w:r>
        <w:r w:rsidR="00260E6B">
          <w:rPr>
            <w:noProof/>
            <w:webHidden/>
          </w:rPr>
          <w:fldChar w:fldCharType="separate"/>
        </w:r>
        <w:r w:rsidR="00260E6B">
          <w:rPr>
            <w:noProof/>
            <w:webHidden/>
          </w:rPr>
          <w:t>26</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48" w:history="1">
        <w:r w:rsidR="00260E6B" w:rsidRPr="006375A2">
          <w:rPr>
            <w:rStyle w:val="Hyperlink"/>
            <w:noProof/>
          </w:rPr>
          <w:t>Figura 7 - Representação esquemática de (a) um polímero linear, (b) um polímero ramificado e (c) uma cadeia de polímeros. Os pontos pretos representam locais onde cadeias estão quimicamente ligadas.</w:t>
        </w:r>
        <w:r w:rsidR="00260E6B">
          <w:rPr>
            <w:noProof/>
            <w:webHidden/>
          </w:rPr>
          <w:tab/>
        </w:r>
        <w:r w:rsidR="00260E6B">
          <w:rPr>
            <w:noProof/>
            <w:webHidden/>
          </w:rPr>
          <w:fldChar w:fldCharType="begin"/>
        </w:r>
        <w:r w:rsidR="00260E6B">
          <w:rPr>
            <w:noProof/>
            <w:webHidden/>
          </w:rPr>
          <w:instrText xml:space="preserve"> PAGEREF _Toc488706048 \h </w:instrText>
        </w:r>
        <w:r w:rsidR="00260E6B">
          <w:rPr>
            <w:noProof/>
            <w:webHidden/>
          </w:rPr>
        </w:r>
        <w:r w:rsidR="00260E6B">
          <w:rPr>
            <w:noProof/>
            <w:webHidden/>
          </w:rPr>
          <w:fldChar w:fldCharType="separate"/>
        </w:r>
        <w:r w:rsidR="00260E6B">
          <w:rPr>
            <w:noProof/>
            <w:webHidden/>
          </w:rPr>
          <w:t>29</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49" w:history="1">
        <w:r w:rsidR="00260E6B" w:rsidRPr="006375A2">
          <w:rPr>
            <w:rStyle w:val="Hyperlink"/>
            <w:noProof/>
          </w:rPr>
          <w:t>Figura 8 - Estrutura química da Goma Guar, um polissacarídeo de armazenamento.</w:t>
        </w:r>
        <w:r w:rsidR="00260E6B">
          <w:rPr>
            <w:noProof/>
            <w:webHidden/>
          </w:rPr>
          <w:tab/>
        </w:r>
        <w:r w:rsidR="00260E6B">
          <w:rPr>
            <w:noProof/>
            <w:webHidden/>
          </w:rPr>
          <w:fldChar w:fldCharType="begin"/>
        </w:r>
        <w:r w:rsidR="00260E6B">
          <w:rPr>
            <w:noProof/>
            <w:webHidden/>
          </w:rPr>
          <w:instrText xml:space="preserve"> PAGEREF _Toc488706049 \h </w:instrText>
        </w:r>
        <w:r w:rsidR="00260E6B">
          <w:rPr>
            <w:noProof/>
            <w:webHidden/>
          </w:rPr>
        </w:r>
        <w:r w:rsidR="00260E6B">
          <w:rPr>
            <w:noProof/>
            <w:webHidden/>
          </w:rPr>
          <w:fldChar w:fldCharType="separate"/>
        </w:r>
        <w:r w:rsidR="00260E6B">
          <w:rPr>
            <w:noProof/>
            <w:webHidden/>
          </w:rPr>
          <w:t>30</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50" w:history="1">
        <w:r w:rsidR="00260E6B" w:rsidRPr="006375A2">
          <w:rPr>
            <w:rStyle w:val="Hyperlink"/>
            <w:noProof/>
          </w:rPr>
          <w:t>Figura 9 - Características redutoras de arraste para diferentes tipos de Goma Guar.</w:t>
        </w:r>
        <w:r w:rsidR="00260E6B">
          <w:rPr>
            <w:noProof/>
            <w:webHidden/>
          </w:rPr>
          <w:tab/>
        </w:r>
        <w:r w:rsidR="00260E6B">
          <w:rPr>
            <w:noProof/>
            <w:webHidden/>
          </w:rPr>
          <w:fldChar w:fldCharType="begin"/>
        </w:r>
        <w:r w:rsidR="00260E6B">
          <w:rPr>
            <w:noProof/>
            <w:webHidden/>
          </w:rPr>
          <w:instrText xml:space="preserve"> PAGEREF _Toc488706050 \h </w:instrText>
        </w:r>
        <w:r w:rsidR="00260E6B">
          <w:rPr>
            <w:noProof/>
            <w:webHidden/>
          </w:rPr>
        </w:r>
        <w:r w:rsidR="00260E6B">
          <w:rPr>
            <w:noProof/>
            <w:webHidden/>
          </w:rPr>
          <w:fldChar w:fldCharType="separate"/>
        </w:r>
        <w:r w:rsidR="00260E6B">
          <w:rPr>
            <w:noProof/>
            <w:webHidden/>
          </w:rPr>
          <w:t>31</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51" w:history="1">
        <w:r w:rsidR="00260E6B" w:rsidRPr="006375A2">
          <w:rPr>
            <w:rStyle w:val="Hyperlink"/>
            <w:noProof/>
          </w:rPr>
          <w:t>Figura 10 - Efeito da concentração de ASP-700 diluído em água nas características de DR%.</w:t>
        </w:r>
        <w:r w:rsidR="00260E6B">
          <w:rPr>
            <w:noProof/>
            <w:webHidden/>
          </w:rPr>
          <w:tab/>
        </w:r>
        <w:r w:rsidR="00260E6B">
          <w:rPr>
            <w:noProof/>
            <w:webHidden/>
          </w:rPr>
          <w:fldChar w:fldCharType="begin"/>
        </w:r>
        <w:r w:rsidR="00260E6B">
          <w:rPr>
            <w:noProof/>
            <w:webHidden/>
          </w:rPr>
          <w:instrText xml:space="preserve"> PAGEREF _Toc488706051 \h </w:instrText>
        </w:r>
        <w:r w:rsidR="00260E6B">
          <w:rPr>
            <w:noProof/>
            <w:webHidden/>
          </w:rPr>
        </w:r>
        <w:r w:rsidR="00260E6B">
          <w:rPr>
            <w:noProof/>
            <w:webHidden/>
          </w:rPr>
          <w:fldChar w:fldCharType="separate"/>
        </w:r>
        <w:r w:rsidR="00260E6B">
          <w:rPr>
            <w:noProof/>
            <w:webHidden/>
          </w:rPr>
          <w:t>35</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52" w:history="1">
        <w:r w:rsidR="00260E6B" w:rsidRPr="006375A2">
          <w:rPr>
            <w:rStyle w:val="Hyperlink"/>
            <w:noProof/>
          </w:rPr>
          <w:t>Figura 11 - Comparação da redução de arraste entre os polímeros ASP-700 e ASP-820 a diferentes temperaturas.</w:t>
        </w:r>
        <w:r w:rsidR="00260E6B">
          <w:rPr>
            <w:noProof/>
            <w:webHidden/>
          </w:rPr>
          <w:tab/>
        </w:r>
        <w:r w:rsidR="00260E6B">
          <w:rPr>
            <w:noProof/>
            <w:webHidden/>
          </w:rPr>
          <w:fldChar w:fldCharType="begin"/>
        </w:r>
        <w:r w:rsidR="00260E6B">
          <w:rPr>
            <w:noProof/>
            <w:webHidden/>
          </w:rPr>
          <w:instrText xml:space="preserve"> PAGEREF _Toc488706052 \h </w:instrText>
        </w:r>
        <w:r w:rsidR="00260E6B">
          <w:rPr>
            <w:noProof/>
            <w:webHidden/>
          </w:rPr>
        </w:r>
        <w:r w:rsidR="00260E6B">
          <w:rPr>
            <w:noProof/>
            <w:webHidden/>
          </w:rPr>
          <w:fldChar w:fldCharType="separate"/>
        </w:r>
        <w:r w:rsidR="00260E6B">
          <w:rPr>
            <w:noProof/>
            <w:webHidden/>
          </w:rPr>
          <w:t>36</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53" w:history="1">
        <w:r w:rsidR="00260E6B" w:rsidRPr="006375A2">
          <w:rPr>
            <w:rStyle w:val="Hyperlink"/>
            <w:noProof/>
          </w:rPr>
          <w:t>Figura 12 - Triângulo de Potências para cálculo do fator de potência ou das potências.</w:t>
        </w:r>
        <w:r w:rsidR="00260E6B">
          <w:rPr>
            <w:noProof/>
            <w:webHidden/>
          </w:rPr>
          <w:tab/>
        </w:r>
        <w:r w:rsidR="00260E6B">
          <w:rPr>
            <w:noProof/>
            <w:webHidden/>
          </w:rPr>
          <w:fldChar w:fldCharType="begin"/>
        </w:r>
        <w:r w:rsidR="00260E6B">
          <w:rPr>
            <w:noProof/>
            <w:webHidden/>
          </w:rPr>
          <w:instrText xml:space="preserve"> PAGEREF _Toc488706053 \h </w:instrText>
        </w:r>
        <w:r w:rsidR="00260E6B">
          <w:rPr>
            <w:noProof/>
            <w:webHidden/>
          </w:rPr>
        </w:r>
        <w:r w:rsidR="00260E6B">
          <w:rPr>
            <w:noProof/>
            <w:webHidden/>
          </w:rPr>
          <w:fldChar w:fldCharType="separate"/>
        </w:r>
        <w:r w:rsidR="00260E6B">
          <w:rPr>
            <w:noProof/>
            <w:webHidden/>
          </w:rPr>
          <w:t>42</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54" w:history="1">
        <w:r w:rsidR="00260E6B" w:rsidRPr="006375A2">
          <w:rPr>
            <w:rStyle w:val="Hyperlink"/>
            <w:noProof/>
          </w:rPr>
          <w:t>Figura 13 - Esquema da planta do LAMEFT para estudo de redução de arraste em tubulações circulares.</w:t>
        </w:r>
        <w:r w:rsidR="00260E6B">
          <w:rPr>
            <w:noProof/>
            <w:webHidden/>
          </w:rPr>
          <w:tab/>
        </w:r>
        <w:r w:rsidR="00260E6B">
          <w:rPr>
            <w:noProof/>
            <w:webHidden/>
          </w:rPr>
          <w:fldChar w:fldCharType="begin"/>
        </w:r>
        <w:r w:rsidR="00260E6B">
          <w:rPr>
            <w:noProof/>
            <w:webHidden/>
          </w:rPr>
          <w:instrText xml:space="preserve"> PAGEREF _Toc488706054 \h </w:instrText>
        </w:r>
        <w:r w:rsidR="00260E6B">
          <w:rPr>
            <w:noProof/>
            <w:webHidden/>
          </w:rPr>
        </w:r>
        <w:r w:rsidR="00260E6B">
          <w:rPr>
            <w:noProof/>
            <w:webHidden/>
          </w:rPr>
          <w:fldChar w:fldCharType="separate"/>
        </w:r>
        <w:r w:rsidR="00260E6B">
          <w:rPr>
            <w:noProof/>
            <w:webHidden/>
          </w:rPr>
          <w:t>45</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55" w:history="1">
        <w:r w:rsidR="00260E6B" w:rsidRPr="006375A2">
          <w:rPr>
            <w:rStyle w:val="Hyperlink"/>
            <w:noProof/>
          </w:rPr>
          <w:t>Figura 14 - Gráfico de fator de atrito x Reynolds. Os círculos vermelhos representam os resultados experimentais.</w:t>
        </w:r>
        <w:r w:rsidR="00260E6B">
          <w:rPr>
            <w:noProof/>
            <w:webHidden/>
          </w:rPr>
          <w:tab/>
        </w:r>
        <w:r w:rsidR="00260E6B">
          <w:rPr>
            <w:noProof/>
            <w:webHidden/>
          </w:rPr>
          <w:fldChar w:fldCharType="begin"/>
        </w:r>
        <w:r w:rsidR="00260E6B">
          <w:rPr>
            <w:noProof/>
            <w:webHidden/>
          </w:rPr>
          <w:instrText xml:space="preserve"> PAGEREF _Toc488706055 \h </w:instrText>
        </w:r>
        <w:r w:rsidR="00260E6B">
          <w:rPr>
            <w:noProof/>
            <w:webHidden/>
          </w:rPr>
        </w:r>
        <w:r w:rsidR="00260E6B">
          <w:rPr>
            <w:noProof/>
            <w:webHidden/>
          </w:rPr>
          <w:fldChar w:fldCharType="separate"/>
        </w:r>
        <w:r w:rsidR="00260E6B">
          <w:rPr>
            <w:noProof/>
            <w:webHidden/>
          </w:rPr>
          <w:t>54</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56" w:history="1">
        <w:r w:rsidR="00260E6B" w:rsidRPr="006375A2">
          <w:rPr>
            <w:rStyle w:val="Hyperlink"/>
            <w:noProof/>
          </w:rPr>
          <w:t>Figura 15 - Fator de atrito das soluções de Goma Guar para Re = 34000; Q = 2 m³/h.</w:t>
        </w:r>
        <w:r w:rsidR="00260E6B">
          <w:rPr>
            <w:noProof/>
            <w:webHidden/>
          </w:rPr>
          <w:tab/>
        </w:r>
        <w:r w:rsidR="00260E6B">
          <w:rPr>
            <w:noProof/>
            <w:webHidden/>
          </w:rPr>
          <w:fldChar w:fldCharType="begin"/>
        </w:r>
        <w:r w:rsidR="00260E6B">
          <w:rPr>
            <w:noProof/>
            <w:webHidden/>
          </w:rPr>
          <w:instrText xml:space="preserve"> PAGEREF _Toc488706056 \h </w:instrText>
        </w:r>
        <w:r w:rsidR="00260E6B">
          <w:rPr>
            <w:noProof/>
            <w:webHidden/>
          </w:rPr>
        </w:r>
        <w:r w:rsidR="00260E6B">
          <w:rPr>
            <w:noProof/>
            <w:webHidden/>
          </w:rPr>
          <w:fldChar w:fldCharType="separate"/>
        </w:r>
        <w:r w:rsidR="00260E6B">
          <w:rPr>
            <w:noProof/>
            <w:webHidden/>
          </w:rPr>
          <w:t>55</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57" w:history="1">
        <w:r w:rsidR="00260E6B" w:rsidRPr="006375A2">
          <w:rPr>
            <w:rStyle w:val="Hyperlink"/>
            <w:noProof/>
          </w:rPr>
          <w:t>Figura 16 - Fator de atrito das soluções de Goma Guar para Re = 68000; Q = 4 m³/h.</w:t>
        </w:r>
        <w:r w:rsidR="00260E6B">
          <w:rPr>
            <w:noProof/>
            <w:webHidden/>
          </w:rPr>
          <w:tab/>
        </w:r>
        <w:r w:rsidR="00260E6B">
          <w:rPr>
            <w:noProof/>
            <w:webHidden/>
          </w:rPr>
          <w:fldChar w:fldCharType="begin"/>
        </w:r>
        <w:r w:rsidR="00260E6B">
          <w:rPr>
            <w:noProof/>
            <w:webHidden/>
          </w:rPr>
          <w:instrText xml:space="preserve"> PAGEREF _Toc488706057 \h </w:instrText>
        </w:r>
        <w:r w:rsidR="00260E6B">
          <w:rPr>
            <w:noProof/>
            <w:webHidden/>
          </w:rPr>
        </w:r>
        <w:r w:rsidR="00260E6B">
          <w:rPr>
            <w:noProof/>
            <w:webHidden/>
          </w:rPr>
          <w:fldChar w:fldCharType="separate"/>
        </w:r>
        <w:r w:rsidR="00260E6B">
          <w:rPr>
            <w:noProof/>
            <w:webHidden/>
          </w:rPr>
          <w:t>56</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58" w:history="1">
        <w:r w:rsidR="00260E6B" w:rsidRPr="006375A2">
          <w:rPr>
            <w:rStyle w:val="Hyperlink"/>
            <w:noProof/>
          </w:rPr>
          <w:t>Figura 17 - Redução de arraste percentual das soluções de Goma Guar para Re = 34000; Q = 2 m³/h.</w:t>
        </w:r>
        <w:r w:rsidR="00260E6B">
          <w:rPr>
            <w:noProof/>
            <w:webHidden/>
          </w:rPr>
          <w:tab/>
        </w:r>
        <w:r w:rsidR="00260E6B">
          <w:rPr>
            <w:noProof/>
            <w:webHidden/>
          </w:rPr>
          <w:fldChar w:fldCharType="begin"/>
        </w:r>
        <w:r w:rsidR="00260E6B">
          <w:rPr>
            <w:noProof/>
            <w:webHidden/>
          </w:rPr>
          <w:instrText xml:space="preserve"> PAGEREF _Toc488706058 \h </w:instrText>
        </w:r>
        <w:r w:rsidR="00260E6B">
          <w:rPr>
            <w:noProof/>
            <w:webHidden/>
          </w:rPr>
        </w:r>
        <w:r w:rsidR="00260E6B">
          <w:rPr>
            <w:noProof/>
            <w:webHidden/>
          </w:rPr>
          <w:fldChar w:fldCharType="separate"/>
        </w:r>
        <w:r w:rsidR="00260E6B">
          <w:rPr>
            <w:noProof/>
            <w:webHidden/>
          </w:rPr>
          <w:t>56</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59" w:history="1">
        <w:r w:rsidR="00260E6B" w:rsidRPr="006375A2">
          <w:rPr>
            <w:rStyle w:val="Hyperlink"/>
            <w:noProof/>
          </w:rPr>
          <w:t>Figura 18 - Redução de arraste percentual das soluções de Goma Guar para Re = 68000; Q = 4 m³/h.</w:t>
        </w:r>
        <w:r w:rsidR="00260E6B">
          <w:rPr>
            <w:noProof/>
            <w:webHidden/>
          </w:rPr>
          <w:tab/>
        </w:r>
        <w:r w:rsidR="00260E6B">
          <w:rPr>
            <w:noProof/>
            <w:webHidden/>
          </w:rPr>
          <w:fldChar w:fldCharType="begin"/>
        </w:r>
        <w:r w:rsidR="00260E6B">
          <w:rPr>
            <w:noProof/>
            <w:webHidden/>
          </w:rPr>
          <w:instrText xml:space="preserve"> PAGEREF _Toc488706059 \h </w:instrText>
        </w:r>
        <w:r w:rsidR="00260E6B">
          <w:rPr>
            <w:noProof/>
            <w:webHidden/>
          </w:rPr>
        </w:r>
        <w:r w:rsidR="00260E6B">
          <w:rPr>
            <w:noProof/>
            <w:webHidden/>
          </w:rPr>
          <w:fldChar w:fldCharType="separate"/>
        </w:r>
        <w:r w:rsidR="00260E6B">
          <w:rPr>
            <w:noProof/>
            <w:webHidden/>
          </w:rPr>
          <w:t>57</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60" w:history="1">
        <w:r w:rsidR="00260E6B" w:rsidRPr="006375A2">
          <w:rPr>
            <w:rStyle w:val="Hyperlink"/>
            <w:noProof/>
          </w:rPr>
          <w:t>Figura 19 - Potência normalizada das soluções de Goma Guar para Re = 34000; Q = 2 m³/h.</w:t>
        </w:r>
        <w:r w:rsidR="00260E6B">
          <w:rPr>
            <w:noProof/>
            <w:webHidden/>
          </w:rPr>
          <w:tab/>
        </w:r>
        <w:r w:rsidR="00260E6B">
          <w:rPr>
            <w:noProof/>
            <w:webHidden/>
          </w:rPr>
          <w:fldChar w:fldCharType="begin"/>
        </w:r>
        <w:r w:rsidR="00260E6B">
          <w:rPr>
            <w:noProof/>
            <w:webHidden/>
          </w:rPr>
          <w:instrText xml:space="preserve"> PAGEREF _Toc488706060 \h </w:instrText>
        </w:r>
        <w:r w:rsidR="00260E6B">
          <w:rPr>
            <w:noProof/>
            <w:webHidden/>
          </w:rPr>
        </w:r>
        <w:r w:rsidR="00260E6B">
          <w:rPr>
            <w:noProof/>
            <w:webHidden/>
          </w:rPr>
          <w:fldChar w:fldCharType="separate"/>
        </w:r>
        <w:r w:rsidR="00260E6B">
          <w:rPr>
            <w:noProof/>
            <w:webHidden/>
          </w:rPr>
          <w:t>59</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61" w:history="1">
        <w:r w:rsidR="00260E6B" w:rsidRPr="006375A2">
          <w:rPr>
            <w:rStyle w:val="Hyperlink"/>
            <w:noProof/>
          </w:rPr>
          <w:t>Figura 20 - Potência normalizada das soluções de Goma Guar para Re = 68000; Q = 4 m³/h.</w:t>
        </w:r>
        <w:r w:rsidR="00260E6B">
          <w:rPr>
            <w:noProof/>
            <w:webHidden/>
          </w:rPr>
          <w:tab/>
        </w:r>
        <w:r w:rsidR="00260E6B">
          <w:rPr>
            <w:noProof/>
            <w:webHidden/>
          </w:rPr>
          <w:fldChar w:fldCharType="begin"/>
        </w:r>
        <w:r w:rsidR="00260E6B">
          <w:rPr>
            <w:noProof/>
            <w:webHidden/>
          </w:rPr>
          <w:instrText xml:space="preserve"> PAGEREF _Toc488706061 \h </w:instrText>
        </w:r>
        <w:r w:rsidR="00260E6B">
          <w:rPr>
            <w:noProof/>
            <w:webHidden/>
          </w:rPr>
        </w:r>
        <w:r w:rsidR="00260E6B">
          <w:rPr>
            <w:noProof/>
            <w:webHidden/>
          </w:rPr>
          <w:fldChar w:fldCharType="separate"/>
        </w:r>
        <w:r w:rsidR="00260E6B">
          <w:rPr>
            <w:noProof/>
            <w:webHidden/>
          </w:rPr>
          <w:t>60</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62" w:history="1">
        <w:r w:rsidR="00260E6B" w:rsidRPr="006375A2">
          <w:rPr>
            <w:rStyle w:val="Hyperlink"/>
            <w:noProof/>
          </w:rPr>
          <w:t>Figura 21 - Potência normalizada das soluções de Goma Guar para C = 50 ppm.</w:t>
        </w:r>
        <w:r w:rsidR="00260E6B">
          <w:rPr>
            <w:noProof/>
            <w:webHidden/>
          </w:rPr>
          <w:tab/>
        </w:r>
        <w:r w:rsidR="00260E6B">
          <w:rPr>
            <w:noProof/>
            <w:webHidden/>
          </w:rPr>
          <w:fldChar w:fldCharType="begin"/>
        </w:r>
        <w:r w:rsidR="00260E6B">
          <w:rPr>
            <w:noProof/>
            <w:webHidden/>
          </w:rPr>
          <w:instrText xml:space="preserve"> PAGEREF _Toc488706062 \h </w:instrText>
        </w:r>
        <w:r w:rsidR="00260E6B">
          <w:rPr>
            <w:noProof/>
            <w:webHidden/>
          </w:rPr>
        </w:r>
        <w:r w:rsidR="00260E6B">
          <w:rPr>
            <w:noProof/>
            <w:webHidden/>
          </w:rPr>
          <w:fldChar w:fldCharType="separate"/>
        </w:r>
        <w:r w:rsidR="00260E6B">
          <w:rPr>
            <w:noProof/>
            <w:webHidden/>
          </w:rPr>
          <w:t>61</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63" w:history="1">
        <w:r w:rsidR="00260E6B" w:rsidRPr="006375A2">
          <w:rPr>
            <w:rStyle w:val="Hyperlink"/>
            <w:noProof/>
          </w:rPr>
          <w:t>Figura 22 - Potência normalizada das soluções de Goma Guar para C = 200 ppm.</w:t>
        </w:r>
        <w:r w:rsidR="00260E6B">
          <w:rPr>
            <w:noProof/>
            <w:webHidden/>
          </w:rPr>
          <w:tab/>
        </w:r>
        <w:r w:rsidR="00260E6B">
          <w:rPr>
            <w:noProof/>
            <w:webHidden/>
          </w:rPr>
          <w:fldChar w:fldCharType="begin"/>
        </w:r>
        <w:r w:rsidR="00260E6B">
          <w:rPr>
            <w:noProof/>
            <w:webHidden/>
          </w:rPr>
          <w:instrText xml:space="preserve"> PAGEREF _Toc488706063 \h </w:instrText>
        </w:r>
        <w:r w:rsidR="00260E6B">
          <w:rPr>
            <w:noProof/>
            <w:webHidden/>
          </w:rPr>
        </w:r>
        <w:r w:rsidR="00260E6B">
          <w:rPr>
            <w:noProof/>
            <w:webHidden/>
          </w:rPr>
          <w:fldChar w:fldCharType="separate"/>
        </w:r>
        <w:r w:rsidR="00260E6B">
          <w:rPr>
            <w:noProof/>
            <w:webHidden/>
          </w:rPr>
          <w:t>62</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64" w:history="1">
        <w:r w:rsidR="00260E6B" w:rsidRPr="006375A2">
          <w:rPr>
            <w:rStyle w:val="Hyperlink"/>
            <w:noProof/>
          </w:rPr>
          <w:t>Figura 23 - Fator de atrito das soluções de PEO para Re = 34000; Q = 2 m³/h.</w:t>
        </w:r>
        <w:r w:rsidR="00260E6B">
          <w:rPr>
            <w:noProof/>
            <w:webHidden/>
          </w:rPr>
          <w:tab/>
        </w:r>
        <w:r w:rsidR="00260E6B">
          <w:rPr>
            <w:noProof/>
            <w:webHidden/>
          </w:rPr>
          <w:fldChar w:fldCharType="begin"/>
        </w:r>
        <w:r w:rsidR="00260E6B">
          <w:rPr>
            <w:noProof/>
            <w:webHidden/>
          </w:rPr>
          <w:instrText xml:space="preserve"> PAGEREF _Toc488706064 \h </w:instrText>
        </w:r>
        <w:r w:rsidR="00260E6B">
          <w:rPr>
            <w:noProof/>
            <w:webHidden/>
          </w:rPr>
        </w:r>
        <w:r w:rsidR="00260E6B">
          <w:rPr>
            <w:noProof/>
            <w:webHidden/>
          </w:rPr>
          <w:fldChar w:fldCharType="separate"/>
        </w:r>
        <w:r w:rsidR="00260E6B">
          <w:rPr>
            <w:noProof/>
            <w:webHidden/>
          </w:rPr>
          <w:t>63</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65" w:history="1">
        <w:r w:rsidR="00260E6B" w:rsidRPr="006375A2">
          <w:rPr>
            <w:rStyle w:val="Hyperlink"/>
            <w:noProof/>
          </w:rPr>
          <w:t>Figura 24 - Fator de atrito das soluções de PEO para Re = 68000; Q = 4 m³/h.</w:t>
        </w:r>
        <w:r w:rsidR="00260E6B">
          <w:rPr>
            <w:noProof/>
            <w:webHidden/>
          </w:rPr>
          <w:tab/>
        </w:r>
        <w:r w:rsidR="00260E6B">
          <w:rPr>
            <w:noProof/>
            <w:webHidden/>
          </w:rPr>
          <w:fldChar w:fldCharType="begin"/>
        </w:r>
        <w:r w:rsidR="00260E6B">
          <w:rPr>
            <w:noProof/>
            <w:webHidden/>
          </w:rPr>
          <w:instrText xml:space="preserve"> PAGEREF _Toc488706065 \h </w:instrText>
        </w:r>
        <w:r w:rsidR="00260E6B">
          <w:rPr>
            <w:noProof/>
            <w:webHidden/>
          </w:rPr>
        </w:r>
        <w:r w:rsidR="00260E6B">
          <w:rPr>
            <w:noProof/>
            <w:webHidden/>
          </w:rPr>
          <w:fldChar w:fldCharType="separate"/>
        </w:r>
        <w:r w:rsidR="00260E6B">
          <w:rPr>
            <w:noProof/>
            <w:webHidden/>
          </w:rPr>
          <w:t>63</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66" w:history="1">
        <w:r w:rsidR="00260E6B" w:rsidRPr="006375A2">
          <w:rPr>
            <w:rStyle w:val="Hyperlink"/>
            <w:noProof/>
          </w:rPr>
          <w:t>Figura 25 - Redução de arraste percentual das soluções de PEO para Re = 34000; Q = 2 m³/h.</w:t>
        </w:r>
        <w:r w:rsidR="00260E6B">
          <w:rPr>
            <w:noProof/>
            <w:webHidden/>
          </w:rPr>
          <w:tab/>
        </w:r>
        <w:r w:rsidR="00260E6B">
          <w:rPr>
            <w:noProof/>
            <w:webHidden/>
          </w:rPr>
          <w:fldChar w:fldCharType="begin"/>
        </w:r>
        <w:r w:rsidR="00260E6B">
          <w:rPr>
            <w:noProof/>
            <w:webHidden/>
          </w:rPr>
          <w:instrText xml:space="preserve"> PAGEREF _Toc488706066 \h </w:instrText>
        </w:r>
        <w:r w:rsidR="00260E6B">
          <w:rPr>
            <w:noProof/>
            <w:webHidden/>
          </w:rPr>
        </w:r>
        <w:r w:rsidR="00260E6B">
          <w:rPr>
            <w:noProof/>
            <w:webHidden/>
          </w:rPr>
          <w:fldChar w:fldCharType="separate"/>
        </w:r>
        <w:r w:rsidR="00260E6B">
          <w:rPr>
            <w:noProof/>
            <w:webHidden/>
          </w:rPr>
          <w:t>64</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67" w:history="1">
        <w:r w:rsidR="00260E6B" w:rsidRPr="006375A2">
          <w:rPr>
            <w:rStyle w:val="Hyperlink"/>
            <w:noProof/>
          </w:rPr>
          <w:t>Figura 26 - Redução de arraste percentual das soluções de PEO para Re = 68000; Q = 4 m³/h.</w:t>
        </w:r>
        <w:r w:rsidR="00260E6B">
          <w:rPr>
            <w:noProof/>
            <w:webHidden/>
          </w:rPr>
          <w:tab/>
        </w:r>
        <w:r w:rsidR="00260E6B">
          <w:rPr>
            <w:noProof/>
            <w:webHidden/>
          </w:rPr>
          <w:fldChar w:fldCharType="begin"/>
        </w:r>
        <w:r w:rsidR="00260E6B">
          <w:rPr>
            <w:noProof/>
            <w:webHidden/>
          </w:rPr>
          <w:instrText xml:space="preserve"> PAGEREF _Toc488706067 \h </w:instrText>
        </w:r>
        <w:r w:rsidR="00260E6B">
          <w:rPr>
            <w:noProof/>
            <w:webHidden/>
          </w:rPr>
        </w:r>
        <w:r w:rsidR="00260E6B">
          <w:rPr>
            <w:noProof/>
            <w:webHidden/>
          </w:rPr>
          <w:fldChar w:fldCharType="separate"/>
        </w:r>
        <w:r w:rsidR="00260E6B">
          <w:rPr>
            <w:noProof/>
            <w:webHidden/>
          </w:rPr>
          <w:t>64</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68" w:history="1">
        <w:r w:rsidR="00260E6B" w:rsidRPr="006375A2">
          <w:rPr>
            <w:rStyle w:val="Hyperlink"/>
            <w:noProof/>
          </w:rPr>
          <w:t>Figura 27 - Potência normalizada das soluções de PEO para Re = 34000; Q = 2 m³/h.</w:t>
        </w:r>
        <w:r w:rsidR="00260E6B">
          <w:rPr>
            <w:noProof/>
            <w:webHidden/>
          </w:rPr>
          <w:tab/>
        </w:r>
        <w:r w:rsidR="00260E6B">
          <w:rPr>
            <w:noProof/>
            <w:webHidden/>
          </w:rPr>
          <w:fldChar w:fldCharType="begin"/>
        </w:r>
        <w:r w:rsidR="00260E6B">
          <w:rPr>
            <w:noProof/>
            <w:webHidden/>
          </w:rPr>
          <w:instrText xml:space="preserve"> PAGEREF _Toc488706068 \h </w:instrText>
        </w:r>
        <w:r w:rsidR="00260E6B">
          <w:rPr>
            <w:noProof/>
            <w:webHidden/>
          </w:rPr>
        </w:r>
        <w:r w:rsidR="00260E6B">
          <w:rPr>
            <w:noProof/>
            <w:webHidden/>
          </w:rPr>
          <w:fldChar w:fldCharType="separate"/>
        </w:r>
        <w:r w:rsidR="00260E6B">
          <w:rPr>
            <w:noProof/>
            <w:webHidden/>
          </w:rPr>
          <w:t>66</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69" w:history="1">
        <w:r w:rsidR="00260E6B" w:rsidRPr="006375A2">
          <w:rPr>
            <w:rStyle w:val="Hyperlink"/>
            <w:noProof/>
          </w:rPr>
          <w:t>Figura 28 - Potência normalizada das soluções de PEO para Re = 68000; Q = 4 m³/h.</w:t>
        </w:r>
        <w:r w:rsidR="00260E6B">
          <w:rPr>
            <w:noProof/>
            <w:webHidden/>
          </w:rPr>
          <w:tab/>
        </w:r>
        <w:r w:rsidR="00260E6B">
          <w:rPr>
            <w:noProof/>
            <w:webHidden/>
          </w:rPr>
          <w:fldChar w:fldCharType="begin"/>
        </w:r>
        <w:r w:rsidR="00260E6B">
          <w:rPr>
            <w:noProof/>
            <w:webHidden/>
          </w:rPr>
          <w:instrText xml:space="preserve"> PAGEREF _Toc488706069 \h </w:instrText>
        </w:r>
        <w:r w:rsidR="00260E6B">
          <w:rPr>
            <w:noProof/>
            <w:webHidden/>
          </w:rPr>
        </w:r>
        <w:r w:rsidR="00260E6B">
          <w:rPr>
            <w:noProof/>
            <w:webHidden/>
          </w:rPr>
          <w:fldChar w:fldCharType="separate"/>
        </w:r>
        <w:r w:rsidR="00260E6B">
          <w:rPr>
            <w:noProof/>
            <w:webHidden/>
          </w:rPr>
          <w:t>67</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70" w:history="1">
        <w:r w:rsidR="00260E6B" w:rsidRPr="006375A2">
          <w:rPr>
            <w:rStyle w:val="Hyperlink"/>
            <w:noProof/>
          </w:rPr>
          <w:t>Figura 29 - Potência normalizada das soluções de PEO para C = 200 ppm.</w:t>
        </w:r>
        <w:r w:rsidR="00260E6B">
          <w:rPr>
            <w:noProof/>
            <w:webHidden/>
          </w:rPr>
          <w:tab/>
        </w:r>
        <w:r w:rsidR="00260E6B">
          <w:rPr>
            <w:noProof/>
            <w:webHidden/>
          </w:rPr>
          <w:fldChar w:fldCharType="begin"/>
        </w:r>
        <w:r w:rsidR="00260E6B">
          <w:rPr>
            <w:noProof/>
            <w:webHidden/>
          </w:rPr>
          <w:instrText xml:space="preserve"> PAGEREF _Toc488706070 \h </w:instrText>
        </w:r>
        <w:r w:rsidR="00260E6B">
          <w:rPr>
            <w:noProof/>
            <w:webHidden/>
          </w:rPr>
        </w:r>
        <w:r w:rsidR="00260E6B">
          <w:rPr>
            <w:noProof/>
            <w:webHidden/>
          </w:rPr>
          <w:fldChar w:fldCharType="separate"/>
        </w:r>
        <w:r w:rsidR="00260E6B">
          <w:rPr>
            <w:noProof/>
            <w:webHidden/>
          </w:rPr>
          <w:t>68</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71" w:history="1">
        <w:r w:rsidR="00260E6B" w:rsidRPr="006375A2">
          <w:rPr>
            <w:rStyle w:val="Hyperlink"/>
            <w:noProof/>
          </w:rPr>
          <w:t>Figura 30 - Fator de atrito dos Blends para e = 34000; Q = 2 m³/h.</w:t>
        </w:r>
        <w:r w:rsidR="00260E6B">
          <w:rPr>
            <w:noProof/>
            <w:webHidden/>
          </w:rPr>
          <w:tab/>
        </w:r>
        <w:r w:rsidR="00260E6B">
          <w:rPr>
            <w:noProof/>
            <w:webHidden/>
          </w:rPr>
          <w:fldChar w:fldCharType="begin"/>
        </w:r>
        <w:r w:rsidR="00260E6B">
          <w:rPr>
            <w:noProof/>
            <w:webHidden/>
          </w:rPr>
          <w:instrText xml:space="preserve"> PAGEREF _Toc488706071 \h </w:instrText>
        </w:r>
        <w:r w:rsidR="00260E6B">
          <w:rPr>
            <w:noProof/>
            <w:webHidden/>
          </w:rPr>
        </w:r>
        <w:r w:rsidR="00260E6B">
          <w:rPr>
            <w:noProof/>
            <w:webHidden/>
          </w:rPr>
          <w:fldChar w:fldCharType="separate"/>
        </w:r>
        <w:r w:rsidR="00260E6B">
          <w:rPr>
            <w:noProof/>
            <w:webHidden/>
          </w:rPr>
          <w:t>69</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72" w:history="1">
        <w:r w:rsidR="00260E6B" w:rsidRPr="006375A2">
          <w:rPr>
            <w:rStyle w:val="Hyperlink"/>
            <w:noProof/>
          </w:rPr>
          <w:t>Figura 31 - Fator de atrito dos Blends para Re = 68000; Q = 4 m³/h.</w:t>
        </w:r>
        <w:r w:rsidR="00260E6B">
          <w:rPr>
            <w:noProof/>
            <w:webHidden/>
          </w:rPr>
          <w:tab/>
        </w:r>
        <w:r w:rsidR="00260E6B">
          <w:rPr>
            <w:noProof/>
            <w:webHidden/>
          </w:rPr>
          <w:fldChar w:fldCharType="begin"/>
        </w:r>
        <w:r w:rsidR="00260E6B">
          <w:rPr>
            <w:noProof/>
            <w:webHidden/>
          </w:rPr>
          <w:instrText xml:space="preserve"> PAGEREF _Toc488706072 \h </w:instrText>
        </w:r>
        <w:r w:rsidR="00260E6B">
          <w:rPr>
            <w:noProof/>
            <w:webHidden/>
          </w:rPr>
        </w:r>
        <w:r w:rsidR="00260E6B">
          <w:rPr>
            <w:noProof/>
            <w:webHidden/>
          </w:rPr>
          <w:fldChar w:fldCharType="separate"/>
        </w:r>
        <w:r w:rsidR="00260E6B">
          <w:rPr>
            <w:noProof/>
            <w:webHidden/>
          </w:rPr>
          <w:t>70</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73" w:history="1">
        <w:r w:rsidR="00260E6B" w:rsidRPr="006375A2">
          <w:rPr>
            <w:rStyle w:val="Hyperlink"/>
            <w:noProof/>
          </w:rPr>
          <w:t>Figura 32 - Redução de arraste percentual dos Blends para Re = 34000; Q = 2 m³/h.</w:t>
        </w:r>
        <w:r w:rsidR="00260E6B">
          <w:rPr>
            <w:noProof/>
            <w:webHidden/>
          </w:rPr>
          <w:tab/>
        </w:r>
        <w:r w:rsidR="00260E6B">
          <w:rPr>
            <w:noProof/>
            <w:webHidden/>
          </w:rPr>
          <w:fldChar w:fldCharType="begin"/>
        </w:r>
        <w:r w:rsidR="00260E6B">
          <w:rPr>
            <w:noProof/>
            <w:webHidden/>
          </w:rPr>
          <w:instrText xml:space="preserve"> PAGEREF _Toc488706073 \h </w:instrText>
        </w:r>
        <w:r w:rsidR="00260E6B">
          <w:rPr>
            <w:noProof/>
            <w:webHidden/>
          </w:rPr>
        </w:r>
        <w:r w:rsidR="00260E6B">
          <w:rPr>
            <w:noProof/>
            <w:webHidden/>
          </w:rPr>
          <w:fldChar w:fldCharType="separate"/>
        </w:r>
        <w:r w:rsidR="00260E6B">
          <w:rPr>
            <w:noProof/>
            <w:webHidden/>
          </w:rPr>
          <w:t>70</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74" w:history="1">
        <w:r w:rsidR="00260E6B" w:rsidRPr="006375A2">
          <w:rPr>
            <w:rStyle w:val="Hyperlink"/>
            <w:noProof/>
          </w:rPr>
          <w:t>Figura 33 - Redução de arraste percentual dos Blends para Re = 68000; Q = 4 m³/h.</w:t>
        </w:r>
        <w:r w:rsidR="00260E6B">
          <w:rPr>
            <w:noProof/>
            <w:webHidden/>
          </w:rPr>
          <w:tab/>
        </w:r>
        <w:r w:rsidR="00260E6B">
          <w:rPr>
            <w:noProof/>
            <w:webHidden/>
          </w:rPr>
          <w:fldChar w:fldCharType="begin"/>
        </w:r>
        <w:r w:rsidR="00260E6B">
          <w:rPr>
            <w:noProof/>
            <w:webHidden/>
          </w:rPr>
          <w:instrText xml:space="preserve"> PAGEREF _Toc488706074 \h </w:instrText>
        </w:r>
        <w:r w:rsidR="00260E6B">
          <w:rPr>
            <w:noProof/>
            <w:webHidden/>
          </w:rPr>
        </w:r>
        <w:r w:rsidR="00260E6B">
          <w:rPr>
            <w:noProof/>
            <w:webHidden/>
          </w:rPr>
          <w:fldChar w:fldCharType="separate"/>
        </w:r>
        <w:r w:rsidR="00260E6B">
          <w:rPr>
            <w:noProof/>
            <w:webHidden/>
          </w:rPr>
          <w:t>71</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75" w:history="1">
        <w:r w:rsidR="00260E6B" w:rsidRPr="006375A2">
          <w:rPr>
            <w:rStyle w:val="Hyperlink"/>
            <w:noProof/>
          </w:rPr>
          <w:t>Figura 34 - Potência normalizada dos Blends para Re = 34000; Q = 2 m³/h.</w:t>
        </w:r>
        <w:r w:rsidR="00260E6B">
          <w:rPr>
            <w:noProof/>
            <w:webHidden/>
          </w:rPr>
          <w:tab/>
        </w:r>
        <w:r w:rsidR="00260E6B">
          <w:rPr>
            <w:noProof/>
            <w:webHidden/>
          </w:rPr>
          <w:fldChar w:fldCharType="begin"/>
        </w:r>
        <w:r w:rsidR="00260E6B">
          <w:rPr>
            <w:noProof/>
            <w:webHidden/>
          </w:rPr>
          <w:instrText xml:space="preserve"> PAGEREF _Toc488706075 \h </w:instrText>
        </w:r>
        <w:r w:rsidR="00260E6B">
          <w:rPr>
            <w:noProof/>
            <w:webHidden/>
          </w:rPr>
        </w:r>
        <w:r w:rsidR="00260E6B">
          <w:rPr>
            <w:noProof/>
            <w:webHidden/>
          </w:rPr>
          <w:fldChar w:fldCharType="separate"/>
        </w:r>
        <w:r w:rsidR="00260E6B">
          <w:rPr>
            <w:noProof/>
            <w:webHidden/>
          </w:rPr>
          <w:t>72</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76" w:history="1">
        <w:r w:rsidR="00260E6B" w:rsidRPr="006375A2">
          <w:rPr>
            <w:rStyle w:val="Hyperlink"/>
            <w:noProof/>
          </w:rPr>
          <w:t>Figura 35 - Potência normalizada dos Blends para Re = 68000; Q = 4 m³/h.</w:t>
        </w:r>
        <w:r w:rsidR="00260E6B">
          <w:rPr>
            <w:noProof/>
            <w:webHidden/>
          </w:rPr>
          <w:tab/>
        </w:r>
        <w:r w:rsidR="00260E6B">
          <w:rPr>
            <w:noProof/>
            <w:webHidden/>
          </w:rPr>
          <w:fldChar w:fldCharType="begin"/>
        </w:r>
        <w:r w:rsidR="00260E6B">
          <w:rPr>
            <w:noProof/>
            <w:webHidden/>
          </w:rPr>
          <w:instrText xml:space="preserve"> PAGEREF _Toc488706076 \h </w:instrText>
        </w:r>
        <w:r w:rsidR="00260E6B">
          <w:rPr>
            <w:noProof/>
            <w:webHidden/>
          </w:rPr>
        </w:r>
        <w:r w:rsidR="00260E6B">
          <w:rPr>
            <w:noProof/>
            <w:webHidden/>
          </w:rPr>
          <w:fldChar w:fldCharType="separate"/>
        </w:r>
        <w:r w:rsidR="00260E6B">
          <w:rPr>
            <w:noProof/>
            <w:webHidden/>
          </w:rPr>
          <w:t>72</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77" w:history="1">
        <w:r w:rsidR="00260E6B" w:rsidRPr="006375A2">
          <w:rPr>
            <w:rStyle w:val="Hyperlink"/>
            <w:noProof/>
          </w:rPr>
          <w:t>Figura 38 - Economia de energia acumulada ao longo dos experimentos para Re = 34000; Q = 2 m³/h.</w:t>
        </w:r>
        <w:r w:rsidR="00260E6B">
          <w:rPr>
            <w:noProof/>
            <w:webHidden/>
          </w:rPr>
          <w:tab/>
        </w:r>
        <w:r w:rsidR="00260E6B">
          <w:rPr>
            <w:noProof/>
            <w:webHidden/>
          </w:rPr>
          <w:fldChar w:fldCharType="begin"/>
        </w:r>
        <w:r w:rsidR="00260E6B">
          <w:rPr>
            <w:noProof/>
            <w:webHidden/>
          </w:rPr>
          <w:instrText xml:space="preserve"> PAGEREF _Toc488706077 \h </w:instrText>
        </w:r>
        <w:r w:rsidR="00260E6B">
          <w:rPr>
            <w:noProof/>
            <w:webHidden/>
          </w:rPr>
        </w:r>
        <w:r w:rsidR="00260E6B">
          <w:rPr>
            <w:noProof/>
            <w:webHidden/>
          </w:rPr>
          <w:fldChar w:fldCharType="separate"/>
        </w:r>
        <w:r w:rsidR="00260E6B">
          <w:rPr>
            <w:noProof/>
            <w:webHidden/>
          </w:rPr>
          <w:t>74</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78" w:history="1">
        <w:r w:rsidR="00260E6B" w:rsidRPr="006375A2">
          <w:rPr>
            <w:rStyle w:val="Hyperlink"/>
            <w:noProof/>
          </w:rPr>
          <w:t>Figura 39 - Economia de energia acumulada ao longo dos experimentos para Re = 68000; Q = 4 m³/h</w:t>
        </w:r>
        <w:r w:rsidR="00260E6B">
          <w:rPr>
            <w:noProof/>
            <w:webHidden/>
          </w:rPr>
          <w:tab/>
        </w:r>
        <w:r w:rsidR="00260E6B">
          <w:rPr>
            <w:noProof/>
            <w:webHidden/>
          </w:rPr>
          <w:fldChar w:fldCharType="begin"/>
        </w:r>
        <w:r w:rsidR="00260E6B">
          <w:rPr>
            <w:noProof/>
            <w:webHidden/>
          </w:rPr>
          <w:instrText xml:space="preserve"> PAGEREF _Toc488706078 \h </w:instrText>
        </w:r>
        <w:r w:rsidR="00260E6B">
          <w:rPr>
            <w:noProof/>
            <w:webHidden/>
          </w:rPr>
        </w:r>
        <w:r w:rsidR="00260E6B">
          <w:rPr>
            <w:noProof/>
            <w:webHidden/>
          </w:rPr>
          <w:fldChar w:fldCharType="separate"/>
        </w:r>
        <w:r w:rsidR="00260E6B">
          <w:rPr>
            <w:noProof/>
            <w:webHidden/>
          </w:rPr>
          <w:t>74</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79" w:history="1">
        <w:r w:rsidR="00260E6B" w:rsidRPr="006375A2">
          <w:rPr>
            <w:rStyle w:val="Hyperlink"/>
            <w:noProof/>
          </w:rPr>
          <w:t>Figura 40 - Fator de potência das soluções de Goma Guar a 50 e 200 ppm em Re = 68000; Q = 4 m³/h.</w:t>
        </w:r>
        <w:r w:rsidR="00260E6B">
          <w:rPr>
            <w:noProof/>
            <w:webHidden/>
          </w:rPr>
          <w:tab/>
        </w:r>
        <w:r w:rsidR="00260E6B">
          <w:rPr>
            <w:noProof/>
            <w:webHidden/>
          </w:rPr>
          <w:fldChar w:fldCharType="begin"/>
        </w:r>
        <w:r w:rsidR="00260E6B">
          <w:rPr>
            <w:noProof/>
            <w:webHidden/>
          </w:rPr>
          <w:instrText xml:space="preserve"> PAGEREF _Toc488706079 \h </w:instrText>
        </w:r>
        <w:r w:rsidR="00260E6B">
          <w:rPr>
            <w:noProof/>
            <w:webHidden/>
          </w:rPr>
        </w:r>
        <w:r w:rsidR="00260E6B">
          <w:rPr>
            <w:noProof/>
            <w:webHidden/>
          </w:rPr>
          <w:fldChar w:fldCharType="separate"/>
        </w:r>
        <w:r w:rsidR="00260E6B">
          <w:rPr>
            <w:noProof/>
            <w:webHidden/>
          </w:rPr>
          <w:t>75</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80" w:history="1">
        <w:r w:rsidR="00260E6B" w:rsidRPr="006375A2">
          <w:rPr>
            <w:rStyle w:val="Hyperlink"/>
            <w:noProof/>
          </w:rPr>
          <w:t>Figura 41 - Tendência de economia de energia para a solução de Goma Guar 200 ppm a 4m³/h.</w:t>
        </w:r>
        <w:r w:rsidR="00260E6B">
          <w:rPr>
            <w:noProof/>
            <w:webHidden/>
          </w:rPr>
          <w:tab/>
        </w:r>
        <w:r w:rsidR="00260E6B">
          <w:rPr>
            <w:noProof/>
            <w:webHidden/>
          </w:rPr>
          <w:fldChar w:fldCharType="begin"/>
        </w:r>
        <w:r w:rsidR="00260E6B">
          <w:rPr>
            <w:noProof/>
            <w:webHidden/>
          </w:rPr>
          <w:instrText xml:space="preserve"> PAGEREF _Toc488706080 \h </w:instrText>
        </w:r>
        <w:r w:rsidR="00260E6B">
          <w:rPr>
            <w:noProof/>
            <w:webHidden/>
          </w:rPr>
        </w:r>
        <w:r w:rsidR="00260E6B">
          <w:rPr>
            <w:noProof/>
            <w:webHidden/>
          </w:rPr>
          <w:fldChar w:fldCharType="separate"/>
        </w:r>
        <w:r w:rsidR="00260E6B">
          <w:rPr>
            <w:noProof/>
            <w:webHidden/>
          </w:rPr>
          <w:t>77</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81" w:history="1">
        <w:r w:rsidR="00260E6B" w:rsidRPr="006375A2">
          <w:rPr>
            <w:rStyle w:val="Hyperlink"/>
            <w:noProof/>
          </w:rPr>
          <w:t>Figura 42: Histórico de preços de Goma Guar no mercado de 2011 a 2014. Valores expressos em dólares por libra.</w:t>
        </w:r>
        <w:r w:rsidR="00260E6B">
          <w:rPr>
            <w:noProof/>
            <w:webHidden/>
          </w:rPr>
          <w:tab/>
        </w:r>
        <w:r w:rsidR="00260E6B">
          <w:rPr>
            <w:noProof/>
            <w:webHidden/>
          </w:rPr>
          <w:fldChar w:fldCharType="begin"/>
        </w:r>
        <w:r w:rsidR="00260E6B">
          <w:rPr>
            <w:noProof/>
            <w:webHidden/>
          </w:rPr>
          <w:instrText xml:space="preserve"> PAGEREF _Toc488706081 \h </w:instrText>
        </w:r>
        <w:r w:rsidR="00260E6B">
          <w:rPr>
            <w:noProof/>
            <w:webHidden/>
          </w:rPr>
        </w:r>
        <w:r w:rsidR="00260E6B">
          <w:rPr>
            <w:noProof/>
            <w:webHidden/>
          </w:rPr>
          <w:fldChar w:fldCharType="separate"/>
        </w:r>
        <w:r w:rsidR="00260E6B">
          <w:rPr>
            <w:noProof/>
            <w:webHidden/>
          </w:rPr>
          <w:t>85</w:t>
        </w:r>
        <w:r w:rsidR="00260E6B">
          <w:rPr>
            <w:noProof/>
            <w:webHidden/>
          </w:rPr>
          <w:fldChar w:fldCharType="end"/>
        </w:r>
      </w:hyperlink>
    </w:p>
    <w:p w:rsidR="0072502C" w:rsidRDefault="00C66C17" w:rsidP="00C66C17">
      <w:pPr>
        <w:pStyle w:val="Nvel1-PG"/>
      </w:pPr>
      <w:r>
        <w:fldChar w:fldCharType="end"/>
      </w:r>
    </w:p>
    <w:p w:rsidR="0072502C" w:rsidRDefault="0072502C" w:rsidP="00C66C17">
      <w:pPr>
        <w:pStyle w:val="Nvel1-PG"/>
      </w:pPr>
    </w:p>
    <w:p w:rsidR="0072502C" w:rsidRDefault="0072502C" w:rsidP="00C66C17">
      <w:pPr>
        <w:pStyle w:val="Nvel1-PG"/>
      </w:pPr>
    </w:p>
    <w:p w:rsidR="0072502C" w:rsidRDefault="0072502C" w:rsidP="00C66C17">
      <w:pPr>
        <w:pStyle w:val="Nvel1-PG"/>
      </w:pPr>
    </w:p>
    <w:p w:rsidR="0072502C" w:rsidRDefault="0072502C" w:rsidP="00C66C17">
      <w:pPr>
        <w:pStyle w:val="Nvel1-PG"/>
      </w:pPr>
    </w:p>
    <w:p w:rsidR="0072502C" w:rsidRDefault="0072502C" w:rsidP="00C66C17">
      <w:pPr>
        <w:pStyle w:val="Nvel1-PG"/>
      </w:pPr>
    </w:p>
    <w:p w:rsidR="0072502C" w:rsidRDefault="0072502C" w:rsidP="00C66C17">
      <w:pPr>
        <w:pStyle w:val="Nvel1-PG"/>
      </w:pPr>
    </w:p>
    <w:p w:rsidR="0072502C" w:rsidRDefault="0072502C" w:rsidP="00C66C17">
      <w:pPr>
        <w:pStyle w:val="Nvel1-PG"/>
      </w:pPr>
    </w:p>
    <w:p w:rsidR="0072502C" w:rsidRDefault="0072502C" w:rsidP="00C66C17">
      <w:pPr>
        <w:pStyle w:val="Nvel1-PG"/>
      </w:pPr>
    </w:p>
    <w:p w:rsidR="0072502C" w:rsidRDefault="0072502C" w:rsidP="00C66C17">
      <w:pPr>
        <w:pStyle w:val="Nvel1-PG"/>
      </w:pPr>
    </w:p>
    <w:p w:rsidR="0072502C" w:rsidRDefault="0072502C" w:rsidP="00C66C17">
      <w:pPr>
        <w:pStyle w:val="Nvel1-PG"/>
      </w:pPr>
    </w:p>
    <w:p w:rsidR="0072502C" w:rsidRDefault="0072502C" w:rsidP="00C66C17">
      <w:pPr>
        <w:pStyle w:val="Nvel1-PG"/>
      </w:pPr>
    </w:p>
    <w:p w:rsidR="0072502C" w:rsidRDefault="0072502C" w:rsidP="00C66C17">
      <w:pPr>
        <w:pStyle w:val="Nvel1-PG"/>
      </w:pPr>
    </w:p>
    <w:p w:rsidR="0072502C" w:rsidRDefault="0072502C" w:rsidP="00C66C17">
      <w:pPr>
        <w:pStyle w:val="Nvel1-PG"/>
      </w:pPr>
    </w:p>
    <w:p w:rsidR="0072502C" w:rsidRDefault="0072502C" w:rsidP="00C66C17">
      <w:pPr>
        <w:pStyle w:val="Nvel1-PG"/>
      </w:pPr>
    </w:p>
    <w:p w:rsidR="0072502C" w:rsidRDefault="0072502C" w:rsidP="00C66C17">
      <w:pPr>
        <w:pStyle w:val="Nvel1-PG"/>
      </w:pPr>
    </w:p>
    <w:p w:rsidR="00925981" w:rsidRDefault="00925981" w:rsidP="00C66C17">
      <w:pPr>
        <w:pStyle w:val="Nvel1-PG"/>
      </w:pPr>
    </w:p>
    <w:p w:rsidR="00925981" w:rsidRDefault="00925981" w:rsidP="00C66C17">
      <w:pPr>
        <w:pStyle w:val="Nvel1-PG"/>
      </w:pPr>
    </w:p>
    <w:p w:rsidR="0072502C" w:rsidRDefault="0072502C" w:rsidP="00C66C17">
      <w:pPr>
        <w:pStyle w:val="Nvel1-PG"/>
      </w:pPr>
    </w:p>
    <w:p w:rsidR="0072502C" w:rsidRDefault="0072502C" w:rsidP="00C66C17">
      <w:pPr>
        <w:pStyle w:val="Nvel1-PG"/>
      </w:pPr>
    </w:p>
    <w:p w:rsidR="00260E6B" w:rsidRDefault="00C66C17" w:rsidP="00C66C17">
      <w:pPr>
        <w:pStyle w:val="Nvel1-PG"/>
        <w:rPr>
          <w:noProof/>
        </w:rPr>
      </w:pPr>
      <w:bookmarkStart w:id="4" w:name="_Toc488678321"/>
      <w:r w:rsidRPr="00C66C17">
        <w:rPr>
          <w:sz w:val="28"/>
        </w:rPr>
        <w:lastRenderedPageBreak/>
        <w:t>LISTA DE TABELAS</w:t>
      </w:r>
      <w:bookmarkEnd w:id="4"/>
      <w:r>
        <w:fldChar w:fldCharType="begin"/>
      </w:r>
      <w:r w:rsidRPr="00C66C17">
        <w:instrText xml:space="preserve"> TOC \h \z \c "Tabela" </w:instrText>
      </w:r>
      <w:r>
        <w:fldChar w:fldCharType="separate"/>
      </w:r>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82" w:history="1">
        <w:r w:rsidR="00260E6B" w:rsidRPr="00033819">
          <w:rPr>
            <w:rStyle w:val="Hyperlink"/>
            <w:noProof/>
          </w:rPr>
          <w:t>Tabela 1 - Comprimento total de tubulações, mangotes e serpentinas utilizadas para o experimento.</w:t>
        </w:r>
        <w:r w:rsidR="00260E6B">
          <w:rPr>
            <w:noProof/>
            <w:webHidden/>
          </w:rPr>
          <w:tab/>
        </w:r>
        <w:r w:rsidR="00260E6B">
          <w:rPr>
            <w:noProof/>
            <w:webHidden/>
          </w:rPr>
          <w:fldChar w:fldCharType="begin"/>
        </w:r>
        <w:r w:rsidR="00260E6B">
          <w:rPr>
            <w:noProof/>
            <w:webHidden/>
          </w:rPr>
          <w:instrText xml:space="preserve"> PAGEREF _Toc488706082 \h </w:instrText>
        </w:r>
        <w:r w:rsidR="00260E6B">
          <w:rPr>
            <w:noProof/>
            <w:webHidden/>
          </w:rPr>
        </w:r>
        <w:r w:rsidR="00260E6B">
          <w:rPr>
            <w:noProof/>
            <w:webHidden/>
          </w:rPr>
          <w:fldChar w:fldCharType="separate"/>
        </w:r>
        <w:r w:rsidR="00260E6B">
          <w:rPr>
            <w:noProof/>
            <w:webHidden/>
          </w:rPr>
          <w:t>46</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83" w:history="1">
        <w:r w:rsidR="00260E6B" w:rsidRPr="00033819">
          <w:rPr>
            <w:rStyle w:val="Hyperlink"/>
            <w:noProof/>
          </w:rPr>
          <w:t>Tabela 2 - Faixa de valores e incerteza dos instrumentos de medição.</w:t>
        </w:r>
        <w:r w:rsidR="00260E6B">
          <w:rPr>
            <w:noProof/>
            <w:webHidden/>
          </w:rPr>
          <w:tab/>
        </w:r>
        <w:r w:rsidR="00260E6B">
          <w:rPr>
            <w:noProof/>
            <w:webHidden/>
          </w:rPr>
          <w:fldChar w:fldCharType="begin"/>
        </w:r>
        <w:r w:rsidR="00260E6B">
          <w:rPr>
            <w:noProof/>
            <w:webHidden/>
          </w:rPr>
          <w:instrText xml:space="preserve"> PAGEREF _Toc488706083 \h </w:instrText>
        </w:r>
        <w:r w:rsidR="00260E6B">
          <w:rPr>
            <w:noProof/>
            <w:webHidden/>
          </w:rPr>
        </w:r>
        <w:r w:rsidR="00260E6B">
          <w:rPr>
            <w:noProof/>
            <w:webHidden/>
          </w:rPr>
          <w:fldChar w:fldCharType="separate"/>
        </w:r>
        <w:r w:rsidR="00260E6B">
          <w:rPr>
            <w:noProof/>
            <w:webHidden/>
          </w:rPr>
          <w:t>52</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84" w:history="1">
        <w:r w:rsidR="00260E6B" w:rsidRPr="00033819">
          <w:rPr>
            <w:rStyle w:val="Hyperlink"/>
            <w:noProof/>
          </w:rPr>
          <w:t>Tabela 3 - Informações dos testes realizados.</w:t>
        </w:r>
        <w:r w:rsidR="00260E6B">
          <w:rPr>
            <w:noProof/>
            <w:webHidden/>
          </w:rPr>
          <w:tab/>
        </w:r>
        <w:r w:rsidR="00260E6B">
          <w:rPr>
            <w:noProof/>
            <w:webHidden/>
          </w:rPr>
          <w:fldChar w:fldCharType="begin"/>
        </w:r>
        <w:r w:rsidR="00260E6B">
          <w:rPr>
            <w:noProof/>
            <w:webHidden/>
          </w:rPr>
          <w:instrText xml:space="preserve"> PAGEREF _Toc488706084 \h </w:instrText>
        </w:r>
        <w:r w:rsidR="00260E6B">
          <w:rPr>
            <w:noProof/>
            <w:webHidden/>
          </w:rPr>
        </w:r>
        <w:r w:rsidR="00260E6B">
          <w:rPr>
            <w:noProof/>
            <w:webHidden/>
          </w:rPr>
          <w:fldChar w:fldCharType="separate"/>
        </w:r>
        <w:r w:rsidR="00260E6B">
          <w:rPr>
            <w:noProof/>
            <w:webHidden/>
          </w:rPr>
          <w:t>53</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85" w:history="1">
        <w:r w:rsidR="00260E6B" w:rsidRPr="00033819">
          <w:rPr>
            <w:rStyle w:val="Hyperlink"/>
            <w:noProof/>
          </w:rPr>
          <w:t>Tabela 4 - Potência ativa média para água ensaiada antes dos experimentos com Goma Guar e potência consumida nos instantes iniciais da adição da solução.</w:t>
        </w:r>
        <w:r w:rsidR="00260E6B">
          <w:rPr>
            <w:noProof/>
            <w:webHidden/>
          </w:rPr>
          <w:tab/>
        </w:r>
        <w:r w:rsidR="00260E6B">
          <w:rPr>
            <w:noProof/>
            <w:webHidden/>
          </w:rPr>
          <w:fldChar w:fldCharType="begin"/>
        </w:r>
        <w:r w:rsidR="00260E6B">
          <w:rPr>
            <w:noProof/>
            <w:webHidden/>
          </w:rPr>
          <w:instrText xml:space="preserve"> PAGEREF _Toc488706085 \h </w:instrText>
        </w:r>
        <w:r w:rsidR="00260E6B">
          <w:rPr>
            <w:noProof/>
            <w:webHidden/>
          </w:rPr>
        </w:r>
        <w:r w:rsidR="00260E6B">
          <w:rPr>
            <w:noProof/>
            <w:webHidden/>
          </w:rPr>
          <w:fldChar w:fldCharType="separate"/>
        </w:r>
        <w:r w:rsidR="00260E6B">
          <w:rPr>
            <w:noProof/>
            <w:webHidden/>
          </w:rPr>
          <w:t>61</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86" w:history="1">
        <w:r w:rsidR="00260E6B" w:rsidRPr="00033819">
          <w:rPr>
            <w:rStyle w:val="Hyperlink"/>
            <w:noProof/>
          </w:rPr>
          <w:t>Tabela 5 - Potência ativa média para água ensaiada antes dos experimentos com PEO e potência consumida nos instantes iniciais da adição da solução.</w:t>
        </w:r>
        <w:r w:rsidR="00260E6B">
          <w:rPr>
            <w:noProof/>
            <w:webHidden/>
          </w:rPr>
          <w:tab/>
        </w:r>
        <w:r w:rsidR="00260E6B">
          <w:rPr>
            <w:noProof/>
            <w:webHidden/>
          </w:rPr>
          <w:fldChar w:fldCharType="begin"/>
        </w:r>
        <w:r w:rsidR="00260E6B">
          <w:rPr>
            <w:noProof/>
            <w:webHidden/>
          </w:rPr>
          <w:instrText xml:space="preserve"> PAGEREF _Toc488706086 \h </w:instrText>
        </w:r>
        <w:r w:rsidR="00260E6B">
          <w:rPr>
            <w:noProof/>
            <w:webHidden/>
          </w:rPr>
        </w:r>
        <w:r w:rsidR="00260E6B">
          <w:rPr>
            <w:noProof/>
            <w:webHidden/>
          </w:rPr>
          <w:fldChar w:fldCharType="separate"/>
        </w:r>
        <w:r w:rsidR="00260E6B">
          <w:rPr>
            <w:noProof/>
            <w:webHidden/>
          </w:rPr>
          <w:t>68</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87" w:history="1">
        <w:r w:rsidR="00260E6B" w:rsidRPr="00033819">
          <w:rPr>
            <w:rStyle w:val="Hyperlink"/>
            <w:noProof/>
          </w:rPr>
          <w:t>Tabela 6 - Potência ativa média para água ensaiada antes dos experimentos com Blends e potência consumida nos instantes iniciais da adição da solução.</w:t>
        </w:r>
        <w:r w:rsidR="00260E6B">
          <w:rPr>
            <w:noProof/>
            <w:webHidden/>
          </w:rPr>
          <w:tab/>
        </w:r>
        <w:r w:rsidR="00260E6B">
          <w:rPr>
            <w:noProof/>
            <w:webHidden/>
          </w:rPr>
          <w:fldChar w:fldCharType="begin"/>
        </w:r>
        <w:r w:rsidR="00260E6B">
          <w:rPr>
            <w:noProof/>
            <w:webHidden/>
          </w:rPr>
          <w:instrText xml:space="preserve"> PAGEREF _Toc488706087 \h </w:instrText>
        </w:r>
        <w:r w:rsidR="00260E6B">
          <w:rPr>
            <w:noProof/>
            <w:webHidden/>
          </w:rPr>
        </w:r>
        <w:r w:rsidR="00260E6B">
          <w:rPr>
            <w:noProof/>
            <w:webHidden/>
          </w:rPr>
          <w:fldChar w:fldCharType="separate"/>
        </w:r>
        <w:r w:rsidR="00260E6B">
          <w:rPr>
            <w:noProof/>
            <w:webHidden/>
          </w:rPr>
          <w:t>73</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88" w:history="1">
        <w:r w:rsidR="00260E6B" w:rsidRPr="00033819">
          <w:rPr>
            <w:rStyle w:val="Hyperlink"/>
            <w:noProof/>
          </w:rPr>
          <w:t>Tabela 7 - Definição do preço médio de kWh no cenário atual.</w:t>
        </w:r>
        <w:r w:rsidR="00260E6B">
          <w:rPr>
            <w:noProof/>
            <w:webHidden/>
          </w:rPr>
          <w:tab/>
        </w:r>
        <w:r w:rsidR="00260E6B">
          <w:rPr>
            <w:noProof/>
            <w:webHidden/>
          </w:rPr>
          <w:fldChar w:fldCharType="begin"/>
        </w:r>
        <w:r w:rsidR="00260E6B">
          <w:rPr>
            <w:noProof/>
            <w:webHidden/>
          </w:rPr>
          <w:instrText xml:space="preserve"> PAGEREF _Toc488706088 \h </w:instrText>
        </w:r>
        <w:r w:rsidR="00260E6B">
          <w:rPr>
            <w:noProof/>
            <w:webHidden/>
          </w:rPr>
        </w:r>
        <w:r w:rsidR="00260E6B">
          <w:rPr>
            <w:noProof/>
            <w:webHidden/>
          </w:rPr>
          <w:fldChar w:fldCharType="separate"/>
        </w:r>
        <w:r w:rsidR="00260E6B">
          <w:rPr>
            <w:noProof/>
            <w:webHidden/>
          </w:rPr>
          <w:t>78</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89" w:history="1">
        <w:r w:rsidR="00260E6B" w:rsidRPr="00033819">
          <w:rPr>
            <w:rStyle w:val="Hyperlink"/>
            <w:noProof/>
          </w:rPr>
          <w:t>Tabela 8 - Dados e cálculo da receita com economia de energia anual.</w:t>
        </w:r>
        <w:r w:rsidR="00260E6B">
          <w:rPr>
            <w:noProof/>
            <w:webHidden/>
          </w:rPr>
          <w:tab/>
        </w:r>
        <w:r w:rsidR="00260E6B">
          <w:rPr>
            <w:noProof/>
            <w:webHidden/>
          </w:rPr>
          <w:fldChar w:fldCharType="begin"/>
        </w:r>
        <w:r w:rsidR="00260E6B">
          <w:rPr>
            <w:noProof/>
            <w:webHidden/>
          </w:rPr>
          <w:instrText xml:space="preserve"> PAGEREF _Toc488706089 \h </w:instrText>
        </w:r>
        <w:r w:rsidR="00260E6B">
          <w:rPr>
            <w:noProof/>
            <w:webHidden/>
          </w:rPr>
        </w:r>
        <w:r w:rsidR="00260E6B">
          <w:rPr>
            <w:noProof/>
            <w:webHidden/>
          </w:rPr>
          <w:fldChar w:fldCharType="separate"/>
        </w:r>
        <w:r w:rsidR="00260E6B">
          <w:rPr>
            <w:noProof/>
            <w:webHidden/>
          </w:rPr>
          <w:t>78</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90" w:history="1">
        <w:r w:rsidR="00260E6B" w:rsidRPr="00033819">
          <w:rPr>
            <w:rStyle w:val="Hyperlink"/>
            <w:noProof/>
          </w:rPr>
          <w:t>Tabela 9 - Dados de custo com matéria-prima e logística do polímero.</w:t>
        </w:r>
        <w:r w:rsidR="00260E6B">
          <w:rPr>
            <w:noProof/>
            <w:webHidden/>
          </w:rPr>
          <w:tab/>
        </w:r>
        <w:r w:rsidR="00260E6B">
          <w:rPr>
            <w:noProof/>
            <w:webHidden/>
          </w:rPr>
          <w:fldChar w:fldCharType="begin"/>
        </w:r>
        <w:r w:rsidR="00260E6B">
          <w:rPr>
            <w:noProof/>
            <w:webHidden/>
          </w:rPr>
          <w:instrText xml:space="preserve"> PAGEREF _Toc488706090 \h </w:instrText>
        </w:r>
        <w:r w:rsidR="00260E6B">
          <w:rPr>
            <w:noProof/>
            <w:webHidden/>
          </w:rPr>
        </w:r>
        <w:r w:rsidR="00260E6B">
          <w:rPr>
            <w:noProof/>
            <w:webHidden/>
          </w:rPr>
          <w:fldChar w:fldCharType="separate"/>
        </w:r>
        <w:r w:rsidR="00260E6B">
          <w:rPr>
            <w:noProof/>
            <w:webHidden/>
          </w:rPr>
          <w:t>78</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91" w:history="1">
        <w:r w:rsidR="00260E6B" w:rsidRPr="00033819">
          <w:rPr>
            <w:rStyle w:val="Hyperlink"/>
            <w:noProof/>
          </w:rPr>
          <w:t>Tabela 10 - Definição dos custos fixos do projeto.</w:t>
        </w:r>
        <w:r w:rsidR="00260E6B">
          <w:rPr>
            <w:noProof/>
            <w:webHidden/>
          </w:rPr>
          <w:tab/>
        </w:r>
        <w:r w:rsidR="00260E6B">
          <w:rPr>
            <w:noProof/>
            <w:webHidden/>
          </w:rPr>
          <w:fldChar w:fldCharType="begin"/>
        </w:r>
        <w:r w:rsidR="00260E6B">
          <w:rPr>
            <w:noProof/>
            <w:webHidden/>
          </w:rPr>
          <w:instrText xml:space="preserve"> PAGEREF _Toc488706091 \h </w:instrText>
        </w:r>
        <w:r w:rsidR="00260E6B">
          <w:rPr>
            <w:noProof/>
            <w:webHidden/>
          </w:rPr>
        </w:r>
        <w:r w:rsidR="00260E6B">
          <w:rPr>
            <w:noProof/>
            <w:webHidden/>
          </w:rPr>
          <w:fldChar w:fldCharType="separate"/>
        </w:r>
        <w:r w:rsidR="00260E6B">
          <w:rPr>
            <w:noProof/>
            <w:webHidden/>
          </w:rPr>
          <w:t>79</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92" w:history="1">
        <w:r w:rsidR="00260E6B" w:rsidRPr="00033819">
          <w:rPr>
            <w:rStyle w:val="Hyperlink"/>
            <w:noProof/>
          </w:rPr>
          <w:t>Tabela 11 - Histórico e projeção do índice de preços ao consumidor amplo - IPCA.</w:t>
        </w:r>
        <w:r w:rsidR="00260E6B">
          <w:rPr>
            <w:noProof/>
            <w:webHidden/>
          </w:rPr>
          <w:tab/>
        </w:r>
        <w:r w:rsidR="00260E6B">
          <w:rPr>
            <w:noProof/>
            <w:webHidden/>
          </w:rPr>
          <w:fldChar w:fldCharType="begin"/>
        </w:r>
        <w:r w:rsidR="00260E6B">
          <w:rPr>
            <w:noProof/>
            <w:webHidden/>
          </w:rPr>
          <w:instrText xml:space="preserve"> PAGEREF _Toc488706092 \h </w:instrText>
        </w:r>
        <w:r w:rsidR="00260E6B">
          <w:rPr>
            <w:noProof/>
            <w:webHidden/>
          </w:rPr>
        </w:r>
        <w:r w:rsidR="00260E6B">
          <w:rPr>
            <w:noProof/>
            <w:webHidden/>
          </w:rPr>
          <w:fldChar w:fldCharType="separate"/>
        </w:r>
        <w:r w:rsidR="00260E6B">
          <w:rPr>
            <w:noProof/>
            <w:webHidden/>
          </w:rPr>
          <w:t>79</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93" w:history="1">
        <w:r w:rsidR="00260E6B" w:rsidRPr="00033819">
          <w:rPr>
            <w:rStyle w:val="Hyperlink"/>
            <w:noProof/>
          </w:rPr>
          <w:t>Tabela 12 - Taxas de referência para os cálculos de viabilidade econômica do cenário padrão.</w:t>
        </w:r>
        <w:r w:rsidR="00260E6B">
          <w:rPr>
            <w:noProof/>
            <w:webHidden/>
          </w:rPr>
          <w:tab/>
        </w:r>
        <w:r w:rsidR="00260E6B">
          <w:rPr>
            <w:noProof/>
            <w:webHidden/>
          </w:rPr>
          <w:fldChar w:fldCharType="begin"/>
        </w:r>
        <w:r w:rsidR="00260E6B">
          <w:rPr>
            <w:noProof/>
            <w:webHidden/>
          </w:rPr>
          <w:instrText xml:space="preserve"> PAGEREF _Toc488706093 \h </w:instrText>
        </w:r>
        <w:r w:rsidR="00260E6B">
          <w:rPr>
            <w:noProof/>
            <w:webHidden/>
          </w:rPr>
        </w:r>
        <w:r w:rsidR="00260E6B">
          <w:rPr>
            <w:noProof/>
            <w:webHidden/>
          </w:rPr>
          <w:fldChar w:fldCharType="separate"/>
        </w:r>
        <w:r w:rsidR="00260E6B">
          <w:rPr>
            <w:noProof/>
            <w:webHidden/>
          </w:rPr>
          <w:t>80</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94" w:history="1">
        <w:r w:rsidR="00260E6B" w:rsidRPr="00033819">
          <w:rPr>
            <w:rStyle w:val="Hyperlink"/>
            <w:noProof/>
          </w:rPr>
          <w:t>Tabela 13 - Definição dos máximos e mínimos para as taxas sensíveis a mudanças ao longo do tempo.</w:t>
        </w:r>
        <w:r w:rsidR="00260E6B">
          <w:rPr>
            <w:noProof/>
            <w:webHidden/>
          </w:rPr>
          <w:tab/>
        </w:r>
        <w:r w:rsidR="00260E6B">
          <w:rPr>
            <w:noProof/>
            <w:webHidden/>
          </w:rPr>
          <w:fldChar w:fldCharType="begin"/>
        </w:r>
        <w:r w:rsidR="00260E6B">
          <w:rPr>
            <w:noProof/>
            <w:webHidden/>
          </w:rPr>
          <w:instrText xml:space="preserve"> PAGEREF _Toc488706094 \h </w:instrText>
        </w:r>
        <w:r w:rsidR="00260E6B">
          <w:rPr>
            <w:noProof/>
            <w:webHidden/>
          </w:rPr>
        </w:r>
        <w:r w:rsidR="00260E6B">
          <w:rPr>
            <w:noProof/>
            <w:webHidden/>
          </w:rPr>
          <w:fldChar w:fldCharType="separate"/>
        </w:r>
        <w:r w:rsidR="00260E6B">
          <w:rPr>
            <w:noProof/>
            <w:webHidden/>
          </w:rPr>
          <w:t>81</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95" w:history="1">
        <w:r w:rsidR="00260E6B" w:rsidRPr="00033819">
          <w:rPr>
            <w:rStyle w:val="Hyperlink"/>
            <w:noProof/>
          </w:rPr>
          <w:t>Tabela 14 - Cenários escolhidos para análise de viabilidade econômica.</w:t>
        </w:r>
        <w:r w:rsidR="00260E6B">
          <w:rPr>
            <w:noProof/>
            <w:webHidden/>
          </w:rPr>
          <w:tab/>
        </w:r>
        <w:r w:rsidR="00260E6B">
          <w:rPr>
            <w:noProof/>
            <w:webHidden/>
          </w:rPr>
          <w:fldChar w:fldCharType="begin"/>
        </w:r>
        <w:r w:rsidR="00260E6B">
          <w:rPr>
            <w:noProof/>
            <w:webHidden/>
          </w:rPr>
          <w:instrText xml:space="preserve"> PAGEREF _Toc488706095 \h </w:instrText>
        </w:r>
        <w:r w:rsidR="00260E6B">
          <w:rPr>
            <w:noProof/>
            <w:webHidden/>
          </w:rPr>
        </w:r>
        <w:r w:rsidR="00260E6B">
          <w:rPr>
            <w:noProof/>
            <w:webHidden/>
          </w:rPr>
          <w:fldChar w:fldCharType="separate"/>
        </w:r>
        <w:r w:rsidR="00260E6B">
          <w:rPr>
            <w:noProof/>
            <w:webHidden/>
          </w:rPr>
          <w:t>81</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96" w:history="1">
        <w:r w:rsidR="00260E6B" w:rsidRPr="00033819">
          <w:rPr>
            <w:rStyle w:val="Hyperlink"/>
            <w:noProof/>
          </w:rPr>
          <w:t>Tabela 15 - Lucro gerado com economia de energia para o caso simples.</w:t>
        </w:r>
        <w:r w:rsidR="00260E6B">
          <w:rPr>
            <w:noProof/>
            <w:webHidden/>
          </w:rPr>
          <w:tab/>
        </w:r>
        <w:r w:rsidR="00260E6B">
          <w:rPr>
            <w:noProof/>
            <w:webHidden/>
          </w:rPr>
          <w:fldChar w:fldCharType="begin"/>
        </w:r>
        <w:r w:rsidR="00260E6B">
          <w:rPr>
            <w:noProof/>
            <w:webHidden/>
          </w:rPr>
          <w:instrText xml:space="preserve"> PAGEREF _Toc488706096 \h </w:instrText>
        </w:r>
        <w:r w:rsidR="00260E6B">
          <w:rPr>
            <w:noProof/>
            <w:webHidden/>
          </w:rPr>
        </w:r>
        <w:r w:rsidR="00260E6B">
          <w:rPr>
            <w:noProof/>
            <w:webHidden/>
          </w:rPr>
          <w:fldChar w:fldCharType="separate"/>
        </w:r>
        <w:r w:rsidR="00260E6B">
          <w:rPr>
            <w:noProof/>
            <w:webHidden/>
          </w:rPr>
          <w:t>82</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97" w:history="1">
        <w:r w:rsidR="00260E6B" w:rsidRPr="00033819">
          <w:rPr>
            <w:rStyle w:val="Hyperlink"/>
            <w:noProof/>
          </w:rPr>
          <w:t>Tabela 16 - Fluxo de caixa e resultados de VPL, TIR e payback no cenário padrão para o caso completo.</w:t>
        </w:r>
        <w:r w:rsidR="00260E6B">
          <w:rPr>
            <w:noProof/>
            <w:webHidden/>
          </w:rPr>
          <w:tab/>
        </w:r>
        <w:r w:rsidR="00260E6B">
          <w:rPr>
            <w:noProof/>
            <w:webHidden/>
          </w:rPr>
          <w:fldChar w:fldCharType="begin"/>
        </w:r>
        <w:r w:rsidR="00260E6B">
          <w:rPr>
            <w:noProof/>
            <w:webHidden/>
          </w:rPr>
          <w:instrText xml:space="preserve"> PAGEREF _Toc488706097 \h </w:instrText>
        </w:r>
        <w:r w:rsidR="00260E6B">
          <w:rPr>
            <w:noProof/>
            <w:webHidden/>
          </w:rPr>
        </w:r>
        <w:r w:rsidR="00260E6B">
          <w:rPr>
            <w:noProof/>
            <w:webHidden/>
          </w:rPr>
          <w:fldChar w:fldCharType="separate"/>
        </w:r>
        <w:r w:rsidR="00260E6B">
          <w:rPr>
            <w:noProof/>
            <w:webHidden/>
          </w:rPr>
          <w:t>83</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98" w:history="1">
        <w:r w:rsidR="00260E6B" w:rsidRPr="00033819">
          <w:rPr>
            <w:rStyle w:val="Hyperlink"/>
            <w:noProof/>
          </w:rPr>
          <w:t>Tabela 17 - Fluxo de caixa e resultados de VPL, TIR e payback no cenário exigente para o caso completo.</w:t>
        </w:r>
        <w:r w:rsidR="00260E6B">
          <w:rPr>
            <w:noProof/>
            <w:webHidden/>
          </w:rPr>
          <w:tab/>
        </w:r>
        <w:r w:rsidR="00260E6B">
          <w:rPr>
            <w:noProof/>
            <w:webHidden/>
          </w:rPr>
          <w:fldChar w:fldCharType="begin"/>
        </w:r>
        <w:r w:rsidR="00260E6B">
          <w:rPr>
            <w:noProof/>
            <w:webHidden/>
          </w:rPr>
          <w:instrText xml:space="preserve"> PAGEREF _Toc488706098 \h </w:instrText>
        </w:r>
        <w:r w:rsidR="00260E6B">
          <w:rPr>
            <w:noProof/>
            <w:webHidden/>
          </w:rPr>
        </w:r>
        <w:r w:rsidR="00260E6B">
          <w:rPr>
            <w:noProof/>
            <w:webHidden/>
          </w:rPr>
          <w:fldChar w:fldCharType="separate"/>
        </w:r>
        <w:r w:rsidR="00260E6B">
          <w:rPr>
            <w:noProof/>
            <w:webHidden/>
          </w:rPr>
          <w:t>84</w:t>
        </w:r>
        <w:r w:rsidR="00260E6B">
          <w:rPr>
            <w:noProof/>
            <w:webHidden/>
          </w:rPr>
          <w:fldChar w:fldCharType="end"/>
        </w:r>
      </w:hyperlink>
    </w:p>
    <w:p w:rsidR="00260E6B" w:rsidRDefault="00D83C6E">
      <w:pPr>
        <w:pStyle w:val="ndicedeilustraes"/>
        <w:tabs>
          <w:tab w:val="right" w:leader="dot" w:pos="9061"/>
        </w:tabs>
        <w:rPr>
          <w:rFonts w:asciiTheme="minorHAnsi" w:eastAsiaTheme="minorEastAsia" w:hAnsiTheme="minorHAnsi"/>
          <w:noProof/>
          <w:sz w:val="22"/>
          <w:lang w:eastAsia="pt-BR"/>
        </w:rPr>
      </w:pPr>
      <w:hyperlink w:anchor="_Toc488706099" w:history="1">
        <w:r w:rsidR="00260E6B" w:rsidRPr="00033819">
          <w:rPr>
            <w:rStyle w:val="Hyperlink"/>
            <w:noProof/>
          </w:rPr>
          <w:t>Tabela 18 - Análise de sensibilidade do preço do polímero.</w:t>
        </w:r>
        <w:r w:rsidR="00260E6B">
          <w:rPr>
            <w:noProof/>
            <w:webHidden/>
          </w:rPr>
          <w:tab/>
        </w:r>
        <w:r w:rsidR="00260E6B">
          <w:rPr>
            <w:noProof/>
            <w:webHidden/>
          </w:rPr>
          <w:fldChar w:fldCharType="begin"/>
        </w:r>
        <w:r w:rsidR="00260E6B">
          <w:rPr>
            <w:noProof/>
            <w:webHidden/>
          </w:rPr>
          <w:instrText xml:space="preserve"> PAGEREF _Toc488706099 \h </w:instrText>
        </w:r>
        <w:r w:rsidR="00260E6B">
          <w:rPr>
            <w:noProof/>
            <w:webHidden/>
          </w:rPr>
        </w:r>
        <w:r w:rsidR="00260E6B">
          <w:rPr>
            <w:noProof/>
            <w:webHidden/>
          </w:rPr>
          <w:fldChar w:fldCharType="separate"/>
        </w:r>
        <w:r w:rsidR="00260E6B">
          <w:rPr>
            <w:noProof/>
            <w:webHidden/>
          </w:rPr>
          <w:t>86</w:t>
        </w:r>
        <w:r w:rsidR="00260E6B">
          <w:rPr>
            <w:noProof/>
            <w:webHidden/>
          </w:rPr>
          <w:fldChar w:fldCharType="end"/>
        </w:r>
      </w:hyperlink>
    </w:p>
    <w:p w:rsidR="00C66C17" w:rsidRDefault="00C66C17" w:rsidP="00C66C17">
      <w:pPr>
        <w:spacing w:after="0"/>
        <w:rPr>
          <w:rFonts w:cs="Arial"/>
          <w:sz w:val="28"/>
          <w:szCs w:val="28"/>
        </w:rPr>
      </w:pPr>
      <w:r>
        <w:rPr>
          <w:rFonts w:cs="Arial"/>
          <w:sz w:val="28"/>
          <w:szCs w:val="28"/>
        </w:rPr>
        <w:fldChar w:fldCharType="end"/>
      </w:r>
    </w:p>
    <w:p w:rsidR="00C66C17" w:rsidRDefault="00C66C17" w:rsidP="00C66C17">
      <w:pPr>
        <w:spacing w:after="0"/>
        <w:rPr>
          <w:rFonts w:cs="Arial"/>
          <w:sz w:val="28"/>
          <w:szCs w:val="28"/>
        </w:rPr>
      </w:pPr>
    </w:p>
    <w:p w:rsidR="00C66C17" w:rsidRDefault="00C66C17" w:rsidP="00C66C17">
      <w:pPr>
        <w:spacing w:after="0"/>
        <w:rPr>
          <w:rFonts w:cs="Arial"/>
          <w:sz w:val="28"/>
          <w:szCs w:val="28"/>
        </w:rPr>
      </w:pPr>
    </w:p>
    <w:p w:rsidR="00C66C17" w:rsidRDefault="00C66C17" w:rsidP="00C66C17">
      <w:pPr>
        <w:spacing w:after="0"/>
        <w:rPr>
          <w:rFonts w:cs="Arial"/>
          <w:sz w:val="28"/>
          <w:szCs w:val="28"/>
        </w:rPr>
      </w:pPr>
    </w:p>
    <w:p w:rsidR="00C66C17" w:rsidRDefault="00C66C17" w:rsidP="00C66C17">
      <w:pPr>
        <w:spacing w:after="0"/>
        <w:rPr>
          <w:rFonts w:cs="Arial"/>
          <w:sz w:val="28"/>
          <w:szCs w:val="28"/>
        </w:rPr>
      </w:pPr>
    </w:p>
    <w:p w:rsidR="00AF2101" w:rsidRDefault="00AF2101" w:rsidP="00AF2101">
      <w:pPr>
        <w:autoSpaceDE w:val="0"/>
        <w:autoSpaceDN w:val="0"/>
        <w:adjustRightInd w:val="0"/>
        <w:contextualSpacing w:val="0"/>
        <w:jc w:val="center"/>
        <w:rPr>
          <w:rFonts w:cs="Arial"/>
          <w:b/>
          <w:bCs/>
          <w:sz w:val="28"/>
          <w:szCs w:val="28"/>
        </w:rPr>
      </w:pPr>
      <w:r w:rsidRPr="00CA547D">
        <w:rPr>
          <w:rFonts w:cs="Arial"/>
          <w:b/>
          <w:bCs/>
          <w:sz w:val="28"/>
          <w:szCs w:val="28"/>
        </w:rPr>
        <w:lastRenderedPageBreak/>
        <w:t>SUMÁRIO</w:t>
      </w:r>
    </w:p>
    <w:p w:rsidR="00C71F11" w:rsidRDefault="00C75E31">
      <w:pPr>
        <w:pStyle w:val="Sumrio1"/>
        <w:rPr>
          <w:rFonts w:asciiTheme="minorHAnsi" w:eastAsiaTheme="minorEastAsia" w:hAnsiTheme="minorHAnsi"/>
          <w:b w:val="0"/>
          <w:sz w:val="22"/>
          <w:lang w:eastAsia="pt-BR"/>
        </w:rPr>
      </w:pPr>
      <w:r>
        <w:rPr>
          <w:rFonts w:cs="Arial"/>
          <w:bCs/>
          <w:szCs w:val="28"/>
        </w:rPr>
        <w:fldChar w:fldCharType="begin"/>
      </w:r>
      <w:r>
        <w:rPr>
          <w:rFonts w:cs="Arial"/>
          <w:bCs/>
          <w:szCs w:val="28"/>
        </w:rPr>
        <w:instrText xml:space="preserve"> TOC \h \z \t "Nível 2 - PG;2;Nível 1 - PG;1;Nível 3 - PG;3;Nível 4 - PG;4" </w:instrText>
      </w:r>
      <w:r>
        <w:rPr>
          <w:rFonts w:cs="Arial"/>
          <w:bCs/>
          <w:szCs w:val="28"/>
        </w:rPr>
        <w:fldChar w:fldCharType="separate"/>
      </w:r>
      <w:hyperlink w:anchor="_Toc488678318" w:history="1">
        <w:r w:rsidR="00C71F11" w:rsidRPr="00DB7490">
          <w:rPr>
            <w:rStyle w:val="Hyperlink"/>
          </w:rPr>
          <w:t>AGRADECIMENTOS</w:t>
        </w:r>
        <w:r w:rsidR="00C71F11">
          <w:rPr>
            <w:webHidden/>
          </w:rPr>
          <w:tab/>
        </w:r>
        <w:r w:rsidR="00C71F11">
          <w:rPr>
            <w:webHidden/>
          </w:rPr>
          <w:fldChar w:fldCharType="begin"/>
        </w:r>
        <w:r w:rsidR="00C71F11">
          <w:rPr>
            <w:webHidden/>
          </w:rPr>
          <w:instrText xml:space="preserve"> PAGEREF _Toc488678318 \h </w:instrText>
        </w:r>
        <w:r w:rsidR="00C71F11">
          <w:rPr>
            <w:webHidden/>
          </w:rPr>
        </w:r>
        <w:r w:rsidR="00C71F11">
          <w:rPr>
            <w:webHidden/>
          </w:rPr>
          <w:fldChar w:fldCharType="separate"/>
        </w:r>
        <w:r w:rsidR="00C71F11">
          <w:rPr>
            <w:webHidden/>
          </w:rPr>
          <w:t>3</w:t>
        </w:r>
        <w:r w:rsidR="00C71F11">
          <w:rPr>
            <w:webHidden/>
          </w:rPr>
          <w:fldChar w:fldCharType="end"/>
        </w:r>
      </w:hyperlink>
    </w:p>
    <w:p w:rsidR="00C71F11" w:rsidRDefault="00D83C6E">
      <w:pPr>
        <w:pStyle w:val="Sumrio1"/>
        <w:rPr>
          <w:rFonts w:asciiTheme="minorHAnsi" w:eastAsiaTheme="minorEastAsia" w:hAnsiTheme="minorHAnsi"/>
          <w:b w:val="0"/>
          <w:sz w:val="22"/>
          <w:lang w:eastAsia="pt-BR"/>
        </w:rPr>
      </w:pPr>
      <w:hyperlink w:anchor="_Toc488678319" w:history="1">
        <w:r w:rsidR="00C71F11" w:rsidRPr="00DB7490">
          <w:rPr>
            <w:rStyle w:val="Hyperlink"/>
          </w:rPr>
          <w:t>RESUMO</w:t>
        </w:r>
        <w:r w:rsidR="00C71F11">
          <w:rPr>
            <w:webHidden/>
          </w:rPr>
          <w:tab/>
        </w:r>
        <w:r w:rsidR="00C71F11">
          <w:rPr>
            <w:webHidden/>
          </w:rPr>
          <w:fldChar w:fldCharType="begin"/>
        </w:r>
        <w:r w:rsidR="00C71F11">
          <w:rPr>
            <w:webHidden/>
          </w:rPr>
          <w:instrText xml:space="preserve"> PAGEREF _Toc488678319 \h </w:instrText>
        </w:r>
        <w:r w:rsidR="00C71F11">
          <w:rPr>
            <w:webHidden/>
          </w:rPr>
        </w:r>
        <w:r w:rsidR="00C71F11">
          <w:rPr>
            <w:webHidden/>
          </w:rPr>
          <w:fldChar w:fldCharType="separate"/>
        </w:r>
        <w:r w:rsidR="00C71F11">
          <w:rPr>
            <w:webHidden/>
          </w:rPr>
          <w:t>4</w:t>
        </w:r>
        <w:r w:rsidR="00C71F11">
          <w:rPr>
            <w:webHidden/>
          </w:rPr>
          <w:fldChar w:fldCharType="end"/>
        </w:r>
      </w:hyperlink>
    </w:p>
    <w:p w:rsidR="00C71F11" w:rsidRDefault="00D83C6E">
      <w:pPr>
        <w:pStyle w:val="Sumrio1"/>
        <w:rPr>
          <w:rFonts w:asciiTheme="minorHAnsi" w:eastAsiaTheme="minorEastAsia" w:hAnsiTheme="minorHAnsi"/>
          <w:b w:val="0"/>
          <w:sz w:val="22"/>
          <w:lang w:eastAsia="pt-BR"/>
        </w:rPr>
      </w:pPr>
      <w:hyperlink w:anchor="_Toc488678320" w:history="1">
        <w:r w:rsidR="00C71F11" w:rsidRPr="00DB7490">
          <w:rPr>
            <w:rStyle w:val="Hyperlink"/>
          </w:rPr>
          <w:t>LISTA DE FIGURAS</w:t>
        </w:r>
        <w:r w:rsidR="00C71F11">
          <w:rPr>
            <w:webHidden/>
          </w:rPr>
          <w:tab/>
        </w:r>
        <w:r w:rsidR="00C71F11">
          <w:rPr>
            <w:webHidden/>
          </w:rPr>
          <w:fldChar w:fldCharType="begin"/>
        </w:r>
        <w:r w:rsidR="00C71F11">
          <w:rPr>
            <w:webHidden/>
          </w:rPr>
          <w:instrText xml:space="preserve"> PAGEREF _Toc488678320 \h </w:instrText>
        </w:r>
        <w:r w:rsidR="00C71F11">
          <w:rPr>
            <w:webHidden/>
          </w:rPr>
        </w:r>
        <w:r w:rsidR="00C71F11">
          <w:rPr>
            <w:webHidden/>
          </w:rPr>
          <w:fldChar w:fldCharType="separate"/>
        </w:r>
        <w:r w:rsidR="00C71F11">
          <w:rPr>
            <w:webHidden/>
          </w:rPr>
          <w:t>5</w:t>
        </w:r>
        <w:r w:rsidR="00C71F11">
          <w:rPr>
            <w:webHidden/>
          </w:rPr>
          <w:fldChar w:fldCharType="end"/>
        </w:r>
      </w:hyperlink>
    </w:p>
    <w:p w:rsidR="00C71F11" w:rsidRDefault="00D83C6E">
      <w:pPr>
        <w:pStyle w:val="Sumrio1"/>
        <w:rPr>
          <w:rFonts w:asciiTheme="minorHAnsi" w:eastAsiaTheme="minorEastAsia" w:hAnsiTheme="minorHAnsi"/>
          <w:b w:val="0"/>
          <w:sz w:val="22"/>
          <w:lang w:eastAsia="pt-BR"/>
        </w:rPr>
      </w:pPr>
      <w:hyperlink w:anchor="_Toc488678321" w:history="1">
        <w:r w:rsidR="00C71F11" w:rsidRPr="00DB7490">
          <w:rPr>
            <w:rStyle w:val="Hyperlink"/>
          </w:rPr>
          <w:t>LISTA DE TABELAS</w:t>
        </w:r>
        <w:r w:rsidR="00C71F11">
          <w:rPr>
            <w:webHidden/>
          </w:rPr>
          <w:tab/>
        </w:r>
        <w:r w:rsidR="00C71F11">
          <w:rPr>
            <w:webHidden/>
          </w:rPr>
          <w:fldChar w:fldCharType="begin"/>
        </w:r>
        <w:r w:rsidR="00C71F11">
          <w:rPr>
            <w:webHidden/>
          </w:rPr>
          <w:instrText xml:space="preserve"> PAGEREF _Toc488678321 \h </w:instrText>
        </w:r>
        <w:r w:rsidR="00C71F11">
          <w:rPr>
            <w:webHidden/>
          </w:rPr>
        </w:r>
        <w:r w:rsidR="00C71F11">
          <w:rPr>
            <w:webHidden/>
          </w:rPr>
          <w:fldChar w:fldCharType="separate"/>
        </w:r>
        <w:r w:rsidR="00C71F11">
          <w:rPr>
            <w:webHidden/>
          </w:rPr>
          <w:t>8</w:t>
        </w:r>
        <w:r w:rsidR="00C71F11">
          <w:rPr>
            <w:webHidden/>
          </w:rPr>
          <w:fldChar w:fldCharType="end"/>
        </w:r>
      </w:hyperlink>
    </w:p>
    <w:p w:rsidR="00C71F11" w:rsidRDefault="00D83C6E">
      <w:pPr>
        <w:pStyle w:val="Sumrio1"/>
        <w:tabs>
          <w:tab w:val="left" w:pos="480"/>
        </w:tabs>
        <w:rPr>
          <w:rFonts w:asciiTheme="minorHAnsi" w:eastAsiaTheme="minorEastAsia" w:hAnsiTheme="minorHAnsi"/>
          <w:b w:val="0"/>
          <w:sz w:val="22"/>
          <w:lang w:eastAsia="pt-BR"/>
        </w:rPr>
      </w:pPr>
      <w:hyperlink w:anchor="_Toc488678322" w:history="1">
        <w:r w:rsidR="00C71F11" w:rsidRPr="00DB7490">
          <w:rPr>
            <w:rStyle w:val="Hyperlink"/>
          </w:rPr>
          <w:t>1.</w:t>
        </w:r>
        <w:r w:rsidR="00C71F11">
          <w:rPr>
            <w:rFonts w:asciiTheme="minorHAnsi" w:eastAsiaTheme="minorEastAsia" w:hAnsiTheme="minorHAnsi"/>
            <w:b w:val="0"/>
            <w:sz w:val="22"/>
            <w:lang w:eastAsia="pt-BR"/>
          </w:rPr>
          <w:tab/>
        </w:r>
        <w:r w:rsidR="00C71F11" w:rsidRPr="00DB7490">
          <w:rPr>
            <w:rStyle w:val="Hyperlink"/>
          </w:rPr>
          <w:t>INTRODUÇÃO</w:t>
        </w:r>
        <w:r w:rsidR="00C71F11">
          <w:rPr>
            <w:webHidden/>
          </w:rPr>
          <w:tab/>
        </w:r>
        <w:r w:rsidR="00C71F11">
          <w:rPr>
            <w:webHidden/>
          </w:rPr>
          <w:fldChar w:fldCharType="begin"/>
        </w:r>
        <w:r w:rsidR="00C71F11">
          <w:rPr>
            <w:webHidden/>
          </w:rPr>
          <w:instrText xml:space="preserve"> PAGEREF _Toc488678322 \h </w:instrText>
        </w:r>
        <w:r w:rsidR="00C71F11">
          <w:rPr>
            <w:webHidden/>
          </w:rPr>
        </w:r>
        <w:r w:rsidR="00C71F11">
          <w:rPr>
            <w:webHidden/>
          </w:rPr>
          <w:fldChar w:fldCharType="separate"/>
        </w:r>
        <w:r w:rsidR="00C71F11">
          <w:rPr>
            <w:webHidden/>
          </w:rPr>
          <w:t>12</w:t>
        </w:r>
        <w:r w:rsidR="00C71F11">
          <w:rPr>
            <w:webHidden/>
          </w:rPr>
          <w:fldChar w:fldCharType="end"/>
        </w:r>
      </w:hyperlink>
    </w:p>
    <w:p w:rsidR="00C71F11" w:rsidRDefault="00D83C6E">
      <w:pPr>
        <w:pStyle w:val="Sumrio2"/>
        <w:rPr>
          <w:rFonts w:asciiTheme="minorHAnsi" w:eastAsiaTheme="minorEastAsia" w:hAnsiTheme="minorHAnsi"/>
          <w:b w:val="0"/>
          <w:sz w:val="22"/>
          <w:lang w:eastAsia="pt-BR"/>
        </w:rPr>
      </w:pPr>
      <w:hyperlink w:anchor="_Toc488678323" w:history="1">
        <w:r w:rsidR="00C71F11" w:rsidRPr="00DB7490">
          <w:rPr>
            <w:rStyle w:val="Hyperlink"/>
          </w:rPr>
          <w:t>1.1 Motivação</w:t>
        </w:r>
        <w:r w:rsidR="00C71F11">
          <w:rPr>
            <w:webHidden/>
          </w:rPr>
          <w:tab/>
        </w:r>
        <w:r w:rsidR="00C71F11">
          <w:rPr>
            <w:webHidden/>
          </w:rPr>
          <w:fldChar w:fldCharType="begin"/>
        </w:r>
        <w:r w:rsidR="00C71F11">
          <w:rPr>
            <w:webHidden/>
          </w:rPr>
          <w:instrText xml:space="preserve"> PAGEREF _Toc488678323 \h </w:instrText>
        </w:r>
        <w:r w:rsidR="00C71F11">
          <w:rPr>
            <w:webHidden/>
          </w:rPr>
        </w:r>
        <w:r w:rsidR="00C71F11">
          <w:rPr>
            <w:webHidden/>
          </w:rPr>
          <w:fldChar w:fldCharType="separate"/>
        </w:r>
        <w:r w:rsidR="00C71F11">
          <w:rPr>
            <w:webHidden/>
          </w:rPr>
          <w:t>13</w:t>
        </w:r>
        <w:r w:rsidR="00C71F11">
          <w:rPr>
            <w:webHidden/>
          </w:rPr>
          <w:fldChar w:fldCharType="end"/>
        </w:r>
      </w:hyperlink>
    </w:p>
    <w:p w:rsidR="00C71F11" w:rsidRDefault="00D83C6E">
      <w:pPr>
        <w:pStyle w:val="Sumrio2"/>
        <w:rPr>
          <w:rFonts w:asciiTheme="minorHAnsi" w:eastAsiaTheme="minorEastAsia" w:hAnsiTheme="minorHAnsi"/>
          <w:b w:val="0"/>
          <w:sz w:val="22"/>
          <w:lang w:eastAsia="pt-BR"/>
        </w:rPr>
      </w:pPr>
      <w:hyperlink w:anchor="_Toc488678324" w:history="1">
        <w:r w:rsidR="00C71F11" w:rsidRPr="00DB7490">
          <w:rPr>
            <w:rStyle w:val="Hyperlink"/>
          </w:rPr>
          <w:t>1.2 Estado da Arte</w:t>
        </w:r>
        <w:r w:rsidR="00C71F11">
          <w:rPr>
            <w:webHidden/>
          </w:rPr>
          <w:tab/>
        </w:r>
        <w:r w:rsidR="00C71F11">
          <w:rPr>
            <w:webHidden/>
          </w:rPr>
          <w:fldChar w:fldCharType="begin"/>
        </w:r>
        <w:r w:rsidR="00C71F11">
          <w:rPr>
            <w:webHidden/>
          </w:rPr>
          <w:instrText xml:space="preserve"> PAGEREF _Toc488678324 \h </w:instrText>
        </w:r>
        <w:r w:rsidR="00C71F11">
          <w:rPr>
            <w:webHidden/>
          </w:rPr>
        </w:r>
        <w:r w:rsidR="00C71F11">
          <w:rPr>
            <w:webHidden/>
          </w:rPr>
          <w:fldChar w:fldCharType="separate"/>
        </w:r>
        <w:r w:rsidR="00C71F11">
          <w:rPr>
            <w:webHidden/>
          </w:rPr>
          <w:t>15</w:t>
        </w:r>
        <w:r w:rsidR="00C71F11">
          <w:rPr>
            <w:webHidden/>
          </w:rPr>
          <w:fldChar w:fldCharType="end"/>
        </w:r>
      </w:hyperlink>
    </w:p>
    <w:p w:rsidR="00C71F11" w:rsidRDefault="00D83C6E">
      <w:pPr>
        <w:pStyle w:val="Sumrio2"/>
        <w:rPr>
          <w:rFonts w:asciiTheme="minorHAnsi" w:eastAsiaTheme="minorEastAsia" w:hAnsiTheme="minorHAnsi"/>
          <w:b w:val="0"/>
          <w:sz w:val="22"/>
          <w:lang w:eastAsia="pt-BR"/>
        </w:rPr>
      </w:pPr>
      <w:hyperlink w:anchor="_Toc488678325" w:history="1">
        <w:r w:rsidR="00C71F11" w:rsidRPr="00DB7490">
          <w:rPr>
            <w:rStyle w:val="Hyperlink"/>
          </w:rPr>
          <w:t>1.3 Objetivo</w:t>
        </w:r>
        <w:r w:rsidR="00C71F11">
          <w:rPr>
            <w:webHidden/>
          </w:rPr>
          <w:tab/>
        </w:r>
        <w:r w:rsidR="00C71F11">
          <w:rPr>
            <w:webHidden/>
          </w:rPr>
          <w:fldChar w:fldCharType="begin"/>
        </w:r>
        <w:r w:rsidR="00C71F11">
          <w:rPr>
            <w:webHidden/>
          </w:rPr>
          <w:instrText xml:space="preserve"> PAGEREF _Toc488678325 \h </w:instrText>
        </w:r>
        <w:r w:rsidR="00C71F11">
          <w:rPr>
            <w:webHidden/>
          </w:rPr>
        </w:r>
        <w:r w:rsidR="00C71F11">
          <w:rPr>
            <w:webHidden/>
          </w:rPr>
          <w:fldChar w:fldCharType="separate"/>
        </w:r>
        <w:r w:rsidR="00C71F11">
          <w:rPr>
            <w:webHidden/>
          </w:rPr>
          <w:t>20</w:t>
        </w:r>
        <w:r w:rsidR="00C71F11">
          <w:rPr>
            <w:webHidden/>
          </w:rPr>
          <w:fldChar w:fldCharType="end"/>
        </w:r>
      </w:hyperlink>
    </w:p>
    <w:p w:rsidR="00C71F11" w:rsidRDefault="00D83C6E">
      <w:pPr>
        <w:pStyle w:val="Sumrio3"/>
        <w:tabs>
          <w:tab w:val="right" w:leader="dot" w:pos="9061"/>
        </w:tabs>
        <w:rPr>
          <w:rFonts w:asciiTheme="minorHAnsi" w:eastAsiaTheme="minorEastAsia" w:hAnsiTheme="minorHAnsi"/>
          <w:noProof/>
          <w:sz w:val="22"/>
          <w:lang w:eastAsia="pt-BR"/>
        </w:rPr>
      </w:pPr>
      <w:hyperlink w:anchor="_Toc488678326" w:history="1">
        <w:r w:rsidR="00C71F11" w:rsidRPr="00DB7490">
          <w:rPr>
            <w:rStyle w:val="Hyperlink"/>
            <w:noProof/>
          </w:rPr>
          <w:t>1.3.1 Objetivo Geral</w:t>
        </w:r>
        <w:r w:rsidR="00C71F11">
          <w:rPr>
            <w:noProof/>
            <w:webHidden/>
          </w:rPr>
          <w:tab/>
        </w:r>
        <w:r w:rsidR="00C71F11">
          <w:rPr>
            <w:noProof/>
            <w:webHidden/>
          </w:rPr>
          <w:fldChar w:fldCharType="begin"/>
        </w:r>
        <w:r w:rsidR="00C71F11">
          <w:rPr>
            <w:noProof/>
            <w:webHidden/>
          </w:rPr>
          <w:instrText xml:space="preserve"> PAGEREF _Toc488678326 \h </w:instrText>
        </w:r>
        <w:r w:rsidR="00C71F11">
          <w:rPr>
            <w:noProof/>
            <w:webHidden/>
          </w:rPr>
        </w:r>
        <w:r w:rsidR="00C71F11">
          <w:rPr>
            <w:noProof/>
            <w:webHidden/>
          </w:rPr>
          <w:fldChar w:fldCharType="separate"/>
        </w:r>
        <w:r w:rsidR="00C71F11">
          <w:rPr>
            <w:noProof/>
            <w:webHidden/>
          </w:rPr>
          <w:t>20</w:t>
        </w:r>
        <w:r w:rsidR="00C71F11">
          <w:rPr>
            <w:noProof/>
            <w:webHidden/>
          </w:rPr>
          <w:fldChar w:fldCharType="end"/>
        </w:r>
      </w:hyperlink>
    </w:p>
    <w:p w:rsidR="00C71F11" w:rsidRDefault="00D83C6E">
      <w:pPr>
        <w:pStyle w:val="Sumrio3"/>
        <w:tabs>
          <w:tab w:val="right" w:leader="dot" w:pos="9061"/>
        </w:tabs>
        <w:rPr>
          <w:rFonts w:asciiTheme="minorHAnsi" w:eastAsiaTheme="minorEastAsia" w:hAnsiTheme="minorHAnsi"/>
          <w:noProof/>
          <w:sz w:val="22"/>
          <w:lang w:eastAsia="pt-BR"/>
        </w:rPr>
      </w:pPr>
      <w:hyperlink w:anchor="_Toc488678327" w:history="1">
        <w:r w:rsidR="00C71F11" w:rsidRPr="00DB7490">
          <w:rPr>
            <w:rStyle w:val="Hyperlink"/>
            <w:noProof/>
          </w:rPr>
          <w:t>1.3.1 Objetivos Específicos</w:t>
        </w:r>
        <w:r w:rsidR="00C71F11">
          <w:rPr>
            <w:noProof/>
            <w:webHidden/>
          </w:rPr>
          <w:tab/>
        </w:r>
        <w:r w:rsidR="00C71F11">
          <w:rPr>
            <w:noProof/>
            <w:webHidden/>
          </w:rPr>
          <w:fldChar w:fldCharType="begin"/>
        </w:r>
        <w:r w:rsidR="00C71F11">
          <w:rPr>
            <w:noProof/>
            <w:webHidden/>
          </w:rPr>
          <w:instrText xml:space="preserve"> PAGEREF _Toc488678327 \h </w:instrText>
        </w:r>
        <w:r w:rsidR="00C71F11">
          <w:rPr>
            <w:noProof/>
            <w:webHidden/>
          </w:rPr>
        </w:r>
        <w:r w:rsidR="00C71F11">
          <w:rPr>
            <w:noProof/>
            <w:webHidden/>
          </w:rPr>
          <w:fldChar w:fldCharType="separate"/>
        </w:r>
        <w:r w:rsidR="00C71F11">
          <w:rPr>
            <w:noProof/>
            <w:webHidden/>
          </w:rPr>
          <w:t>20</w:t>
        </w:r>
        <w:r w:rsidR="00C71F11">
          <w:rPr>
            <w:noProof/>
            <w:webHidden/>
          </w:rPr>
          <w:fldChar w:fldCharType="end"/>
        </w:r>
      </w:hyperlink>
    </w:p>
    <w:p w:rsidR="00C71F11" w:rsidRDefault="00D83C6E">
      <w:pPr>
        <w:pStyle w:val="Sumrio1"/>
        <w:tabs>
          <w:tab w:val="left" w:pos="480"/>
        </w:tabs>
        <w:rPr>
          <w:rFonts w:asciiTheme="minorHAnsi" w:eastAsiaTheme="minorEastAsia" w:hAnsiTheme="minorHAnsi"/>
          <w:b w:val="0"/>
          <w:sz w:val="22"/>
          <w:lang w:eastAsia="pt-BR"/>
        </w:rPr>
      </w:pPr>
      <w:hyperlink w:anchor="_Toc488678328" w:history="1">
        <w:r w:rsidR="00C71F11" w:rsidRPr="00DB7490">
          <w:rPr>
            <w:rStyle w:val="Hyperlink"/>
          </w:rPr>
          <w:t>2.</w:t>
        </w:r>
        <w:r w:rsidR="00C71F11">
          <w:rPr>
            <w:rFonts w:asciiTheme="minorHAnsi" w:eastAsiaTheme="minorEastAsia" w:hAnsiTheme="minorHAnsi"/>
            <w:b w:val="0"/>
            <w:sz w:val="22"/>
            <w:lang w:eastAsia="pt-BR"/>
          </w:rPr>
          <w:tab/>
        </w:r>
        <w:r w:rsidR="00C71F11" w:rsidRPr="00DB7490">
          <w:rPr>
            <w:rStyle w:val="Hyperlink"/>
          </w:rPr>
          <w:t>FUNDAMENTAÇÃO TEÓRICA</w:t>
        </w:r>
        <w:r w:rsidR="00C71F11">
          <w:rPr>
            <w:webHidden/>
          </w:rPr>
          <w:tab/>
        </w:r>
        <w:r w:rsidR="00C71F11">
          <w:rPr>
            <w:webHidden/>
          </w:rPr>
          <w:fldChar w:fldCharType="begin"/>
        </w:r>
        <w:r w:rsidR="00C71F11">
          <w:rPr>
            <w:webHidden/>
          </w:rPr>
          <w:instrText xml:space="preserve"> PAGEREF _Toc488678328 \h </w:instrText>
        </w:r>
        <w:r w:rsidR="00C71F11">
          <w:rPr>
            <w:webHidden/>
          </w:rPr>
        </w:r>
        <w:r w:rsidR="00C71F11">
          <w:rPr>
            <w:webHidden/>
          </w:rPr>
          <w:fldChar w:fldCharType="separate"/>
        </w:r>
        <w:r w:rsidR="00C71F11">
          <w:rPr>
            <w:webHidden/>
          </w:rPr>
          <w:t>21</w:t>
        </w:r>
        <w:r w:rsidR="00C71F11">
          <w:rPr>
            <w:webHidden/>
          </w:rPr>
          <w:fldChar w:fldCharType="end"/>
        </w:r>
      </w:hyperlink>
    </w:p>
    <w:p w:rsidR="00C71F11" w:rsidRDefault="00D83C6E">
      <w:pPr>
        <w:pStyle w:val="Sumrio2"/>
        <w:rPr>
          <w:rFonts w:asciiTheme="minorHAnsi" w:eastAsiaTheme="minorEastAsia" w:hAnsiTheme="minorHAnsi"/>
          <w:b w:val="0"/>
          <w:sz w:val="22"/>
          <w:lang w:eastAsia="pt-BR"/>
        </w:rPr>
      </w:pPr>
      <w:hyperlink w:anchor="_Toc488678329" w:history="1">
        <w:r w:rsidR="00C71F11" w:rsidRPr="00DB7490">
          <w:rPr>
            <w:rStyle w:val="Hyperlink"/>
          </w:rPr>
          <w:t>2.1 Escoamento Turbulento</w:t>
        </w:r>
        <w:r w:rsidR="00C71F11">
          <w:rPr>
            <w:webHidden/>
          </w:rPr>
          <w:tab/>
        </w:r>
        <w:r w:rsidR="00C71F11">
          <w:rPr>
            <w:webHidden/>
          </w:rPr>
          <w:fldChar w:fldCharType="begin"/>
        </w:r>
        <w:r w:rsidR="00C71F11">
          <w:rPr>
            <w:webHidden/>
          </w:rPr>
          <w:instrText xml:space="preserve"> PAGEREF _Toc488678329 \h </w:instrText>
        </w:r>
        <w:r w:rsidR="00C71F11">
          <w:rPr>
            <w:webHidden/>
          </w:rPr>
        </w:r>
        <w:r w:rsidR="00C71F11">
          <w:rPr>
            <w:webHidden/>
          </w:rPr>
          <w:fldChar w:fldCharType="separate"/>
        </w:r>
        <w:r w:rsidR="00C71F11">
          <w:rPr>
            <w:webHidden/>
          </w:rPr>
          <w:t>21</w:t>
        </w:r>
        <w:r w:rsidR="00C71F11">
          <w:rPr>
            <w:webHidden/>
          </w:rPr>
          <w:fldChar w:fldCharType="end"/>
        </w:r>
      </w:hyperlink>
    </w:p>
    <w:p w:rsidR="00C71F11" w:rsidRDefault="00D83C6E">
      <w:pPr>
        <w:pStyle w:val="Sumrio3"/>
        <w:tabs>
          <w:tab w:val="right" w:leader="dot" w:pos="9061"/>
        </w:tabs>
        <w:rPr>
          <w:rFonts w:asciiTheme="minorHAnsi" w:eastAsiaTheme="minorEastAsia" w:hAnsiTheme="minorHAnsi"/>
          <w:noProof/>
          <w:sz w:val="22"/>
          <w:lang w:eastAsia="pt-BR"/>
        </w:rPr>
      </w:pPr>
      <w:hyperlink w:anchor="_Toc488678330" w:history="1">
        <w:r w:rsidR="00C71F11" w:rsidRPr="00DB7490">
          <w:rPr>
            <w:rStyle w:val="Hyperlink"/>
            <w:noProof/>
          </w:rPr>
          <w:t>2.1.1 Caracterização do escoamento turbulento</w:t>
        </w:r>
        <w:r w:rsidR="00C71F11">
          <w:rPr>
            <w:noProof/>
            <w:webHidden/>
          </w:rPr>
          <w:tab/>
        </w:r>
        <w:r w:rsidR="00C71F11">
          <w:rPr>
            <w:noProof/>
            <w:webHidden/>
          </w:rPr>
          <w:fldChar w:fldCharType="begin"/>
        </w:r>
        <w:r w:rsidR="00C71F11">
          <w:rPr>
            <w:noProof/>
            <w:webHidden/>
          </w:rPr>
          <w:instrText xml:space="preserve"> PAGEREF _Toc488678330 \h </w:instrText>
        </w:r>
        <w:r w:rsidR="00C71F11">
          <w:rPr>
            <w:noProof/>
            <w:webHidden/>
          </w:rPr>
        </w:r>
        <w:r w:rsidR="00C71F11">
          <w:rPr>
            <w:noProof/>
            <w:webHidden/>
          </w:rPr>
          <w:fldChar w:fldCharType="separate"/>
        </w:r>
        <w:r w:rsidR="00C71F11">
          <w:rPr>
            <w:noProof/>
            <w:webHidden/>
          </w:rPr>
          <w:t>22</w:t>
        </w:r>
        <w:r w:rsidR="00C71F11">
          <w:rPr>
            <w:noProof/>
            <w:webHidden/>
          </w:rPr>
          <w:fldChar w:fldCharType="end"/>
        </w:r>
      </w:hyperlink>
    </w:p>
    <w:p w:rsidR="00C71F11" w:rsidRDefault="00D83C6E">
      <w:pPr>
        <w:pStyle w:val="Sumrio2"/>
        <w:rPr>
          <w:rFonts w:asciiTheme="minorHAnsi" w:eastAsiaTheme="minorEastAsia" w:hAnsiTheme="minorHAnsi"/>
          <w:b w:val="0"/>
          <w:sz w:val="22"/>
          <w:lang w:eastAsia="pt-BR"/>
        </w:rPr>
      </w:pPr>
      <w:hyperlink w:anchor="_Toc488678331" w:history="1">
        <w:r w:rsidR="00C71F11" w:rsidRPr="00DB7490">
          <w:rPr>
            <w:rStyle w:val="Hyperlink"/>
          </w:rPr>
          <w:t>2.2 Efeitos viscosos em escoamentos turbulentos</w:t>
        </w:r>
        <w:r w:rsidR="00C71F11">
          <w:rPr>
            <w:webHidden/>
          </w:rPr>
          <w:tab/>
        </w:r>
        <w:r w:rsidR="00C71F11">
          <w:rPr>
            <w:webHidden/>
          </w:rPr>
          <w:fldChar w:fldCharType="begin"/>
        </w:r>
        <w:r w:rsidR="00C71F11">
          <w:rPr>
            <w:webHidden/>
          </w:rPr>
          <w:instrText xml:space="preserve"> PAGEREF _Toc488678331 \h </w:instrText>
        </w:r>
        <w:r w:rsidR="00C71F11">
          <w:rPr>
            <w:webHidden/>
          </w:rPr>
        </w:r>
        <w:r w:rsidR="00C71F11">
          <w:rPr>
            <w:webHidden/>
          </w:rPr>
          <w:fldChar w:fldCharType="separate"/>
        </w:r>
        <w:r w:rsidR="00C71F11">
          <w:rPr>
            <w:webHidden/>
          </w:rPr>
          <w:t>22</w:t>
        </w:r>
        <w:r w:rsidR="00C71F11">
          <w:rPr>
            <w:webHidden/>
          </w:rPr>
          <w:fldChar w:fldCharType="end"/>
        </w:r>
      </w:hyperlink>
    </w:p>
    <w:p w:rsidR="00C71F11" w:rsidRDefault="00D83C6E">
      <w:pPr>
        <w:pStyle w:val="Sumrio2"/>
        <w:rPr>
          <w:rFonts w:asciiTheme="minorHAnsi" w:eastAsiaTheme="minorEastAsia" w:hAnsiTheme="minorHAnsi"/>
          <w:b w:val="0"/>
          <w:sz w:val="22"/>
          <w:lang w:eastAsia="pt-BR"/>
        </w:rPr>
      </w:pPr>
      <w:hyperlink w:anchor="_Toc488678332" w:history="1">
        <w:r w:rsidR="00C71F11" w:rsidRPr="00DB7490">
          <w:rPr>
            <w:rStyle w:val="Hyperlink"/>
          </w:rPr>
          <w:t>2.3 Desenvolvimento da camada limite hidrodinâmica</w:t>
        </w:r>
        <w:r w:rsidR="00C71F11">
          <w:rPr>
            <w:webHidden/>
          </w:rPr>
          <w:tab/>
        </w:r>
        <w:r w:rsidR="00C71F11">
          <w:rPr>
            <w:webHidden/>
          </w:rPr>
          <w:fldChar w:fldCharType="begin"/>
        </w:r>
        <w:r w:rsidR="00C71F11">
          <w:rPr>
            <w:webHidden/>
          </w:rPr>
          <w:instrText xml:space="preserve"> PAGEREF _Toc488678332 \h </w:instrText>
        </w:r>
        <w:r w:rsidR="00C71F11">
          <w:rPr>
            <w:webHidden/>
          </w:rPr>
        </w:r>
        <w:r w:rsidR="00C71F11">
          <w:rPr>
            <w:webHidden/>
          </w:rPr>
          <w:fldChar w:fldCharType="separate"/>
        </w:r>
        <w:r w:rsidR="00C71F11">
          <w:rPr>
            <w:webHidden/>
          </w:rPr>
          <w:t>25</w:t>
        </w:r>
        <w:r w:rsidR="00C71F11">
          <w:rPr>
            <w:webHidden/>
          </w:rPr>
          <w:fldChar w:fldCharType="end"/>
        </w:r>
      </w:hyperlink>
    </w:p>
    <w:p w:rsidR="00C71F11" w:rsidRDefault="00D83C6E">
      <w:pPr>
        <w:pStyle w:val="Sumrio2"/>
        <w:rPr>
          <w:rFonts w:asciiTheme="minorHAnsi" w:eastAsiaTheme="minorEastAsia" w:hAnsiTheme="minorHAnsi"/>
          <w:b w:val="0"/>
          <w:sz w:val="22"/>
          <w:lang w:eastAsia="pt-BR"/>
        </w:rPr>
      </w:pPr>
      <w:hyperlink w:anchor="_Toc488678333" w:history="1">
        <w:r w:rsidR="00C71F11" w:rsidRPr="00DB7490">
          <w:rPr>
            <w:rStyle w:val="Hyperlink"/>
          </w:rPr>
          <w:t>2.4 Perda de Carga</w:t>
        </w:r>
        <w:r w:rsidR="00C71F11">
          <w:rPr>
            <w:webHidden/>
          </w:rPr>
          <w:tab/>
        </w:r>
        <w:r w:rsidR="00C71F11">
          <w:rPr>
            <w:webHidden/>
          </w:rPr>
          <w:fldChar w:fldCharType="begin"/>
        </w:r>
        <w:r w:rsidR="00C71F11">
          <w:rPr>
            <w:webHidden/>
          </w:rPr>
          <w:instrText xml:space="preserve"> PAGEREF _Toc488678333 \h </w:instrText>
        </w:r>
        <w:r w:rsidR="00C71F11">
          <w:rPr>
            <w:webHidden/>
          </w:rPr>
        </w:r>
        <w:r w:rsidR="00C71F11">
          <w:rPr>
            <w:webHidden/>
          </w:rPr>
          <w:fldChar w:fldCharType="separate"/>
        </w:r>
        <w:r w:rsidR="00C71F11">
          <w:rPr>
            <w:webHidden/>
          </w:rPr>
          <w:t>26</w:t>
        </w:r>
        <w:r w:rsidR="00C71F11">
          <w:rPr>
            <w:webHidden/>
          </w:rPr>
          <w:fldChar w:fldCharType="end"/>
        </w:r>
      </w:hyperlink>
    </w:p>
    <w:p w:rsidR="00C71F11" w:rsidRDefault="00D83C6E">
      <w:pPr>
        <w:pStyle w:val="Sumrio2"/>
        <w:rPr>
          <w:rFonts w:asciiTheme="minorHAnsi" w:eastAsiaTheme="minorEastAsia" w:hAnsiTheme="minorHAnsi"/>
          <w:b w:val="0"/>
          <w:sz w:val="22"/>
          <w:lang w:eastAsia="pt-BR"/>
        </w:rPr>
      </w:pPr>
      <w:hyperlink w:anchor="_Toc488678334" w:history="1">
        <w:r w:rsidR="00C71F11" w:rsidRPr="00DB7490">
          <w:rPr>
            <w:rStyle w:val="Hyperlink"/>
          </w:rPr>
          <w:t>2.5 Tipos de Aditivo</w:t>
        </w:r>
        <w:r w:rsidR="00C71F11">
          <w:rPr>
            <w:webHidden/>
          </w:rPr>
          <w:tab/>
        </w:r>
        <w:r w:rsidR="00C71F11">
          <w:rPr>
            <w:webHidden/>
          </w:rPr>
          <w:fldChar w:fldCharType="begin"/>
        </w:r>
        <w:r w:rsidR="00C71F11">
          <w:rPr>
            <w:webHidden/>
          </w:rPr>
          <w:instrText xml:space="preserve"> PAGEREF _Toc488678334 \h </w:instrText>
        </w:r>
        <w:r w:rsidR="00C71F11">
          <w:rPr>
            <w:webHidden/>
          </w:rPr>
        </w:r>
        <w:r w:rsidR="00C71F11">
          <w:rPr>
            <w:webHidden/>
          </w:rPr>
          <w:fldChar w:fldCharType="separate"/>
        </w:r>
        <w:r w:rsidR="00C71F11">
          <w:rPr>
            <w:webHidden/>
          </w:rPr>
          <w:t>28</w:t>
        </w:r>
        <w:r w:rsidR="00C71F11">
          <w:rPr>
            <w:webHidden/>
          </w:rPr>
          <w:fldChar w:fldCharType="end"/>
        </w:r>
      </w:hyperlink>
    </w:p>
    <w:p w:rsidR="00C71F11" w:rsidRDefault="00D83C6E">
      <w:pPr>
        <w:pStyle w:val="Sumrio3"/>
        <w:tabs>
          <w:tab w:val="right" w:leader="dot" w:pos="9061"/>
        </w:tabs>
        <w:rPr>
          <w:rFonts w:asciiTheme="minorHAnsi" w:eastAsiaTheme="minorEastAsia" w:hAnsiTheme="minorHAnsi"/>
          <w:noProof/>
          <w:sz w:val="22"/>
          <w:lang w:eastAsia="pt-BR"/>
        </w:rPr>
      </w:pPr>
      <w:hyperlink w:anchor="_Toc488678335" w:history="1">
        <w:r w:rsidR="00C71F11" w:rsidRPr="00DB7490">
          <w:rPr>
            <w:rStyle w:val="Hyperlink"/>
            <w:noProof/>
          </w:rPr>
          <w:t>2.5.1 Polímeros</w:t>
        </w:r>
        <w:r w:rsidR="00C71F11">
          <w:rPr>
            <w:noProof/>
            <w:webHidden/>
          </w:rPr>
          <w:tab/>
        </w:r>
        <w:r w:rsidR="00C71F11">
          <w:rPr>
            <w:noProof/>
            <w:webHidden/>
          </w:rPr>
          <w:fldChar w:fldCharType="begin"/>
        </w:r>
        <w:r w:rsidR="00C71F11">
          <w:rPr>
            <w:noProof/>
            <w:webHidden/>
          </w:rPr>
          <w:instrText xml:space="preserve"> PAGEREF _Toc488678335 \h </w:instrText>
        </w:r>
        <w:r w:rsidR="00C71F11">
          <w:rPr>
            <w:noProof/>
            <w:webHidden/>
          </w:rPr>
        </w:r>
        <w:r w:rsidR="00C71F11">
          <w:rPr>
            <w:noProof/>
            <w:webHidden/>
          </w:rPr>
          <w:fldChar w:fldCharType="separate"/>
        </w:r>
        <w:r w:rsidR="00C71F11">
          <w:rPr>
            <w:noProof/>
            <w:webHidden/>
          </w:rPr>
          <w:t>28</w:t>
        </w:r>
        <w:r w:rsidR="00C71F11">
          <w:rPr>
            <w:noProof/>
            <w:webHidden/>
          </w:rPr>
          <w:fldChar w:fldCharType="end"/>
        </w:r>
      </w:hyperlink>
    </w:p>
    <w:p w:rsidR="00C71F11" w:rsidRDefault="00D83C6E">
      <w:pPr>
        <w:pStyle w:val="Sumrio4"/>
        <w:rPr>
          <w:rFonts w:asciiTheme="minorHAnsi" w:eastAsiaTheme="minorEastAsia" w:hAnsiTheme="minorHAnsi"/>
          <w:i w:val="0"/>
          <w:sz w:val="22"/>
          <w:lang w:eastAsia="pt-BR"/>
        </w:rPr>
      </w:pPr>
      <w:hyperlink w:anchor="_Toc488678336" w:history="1">
        <w:r w:rsidR="00C71F11" w:rsidRPr="00DB7490">
          <w:rPr>
            <w:rStyle w:val="Hyperlink"/>
          </w:rPr>
          <w:t>2.5.1.1 Goma Guar</w:t>
        </w:r>
        <w:r w:rsidR="00C71F11">
          <w:rPr>
            <w:webHidden/>
          </w:rPr>
          <w:tab/>
        </w:r>
        <w:r w:rsidR="00C71F11">
          <w:rPr>
            <w:webHidden/>
          </w:rPr>
          <w:fldChar w:fldCharType="begin"/>
        </w:r>
        <w:r w:rsidR="00C71F11">
          <w:rPr>
            <w:webHidden/>
          </w:rPr>
          <w:instrText xml:space="preserve"> PAGEREF _Toc488678336 \h </w:instrText>
        </w:r>
        <w:r w:rsidR="00C71F11">
          <w:rPr>
            <w:webHidden/>
          </w:rPr>
        </w:r>
        <w:r w:rsidR="00C71F11">
          <w:rPr>
            <w:webHidden/>
          </w:rPr>
          <w:fldChar w:fldCharType="separate"/>
        </w:r>
        <w:r w:rsidR="00C71F11">
          <w:rPr>
            <w:webHidden/>
          </w:rPr>
          <w:t>30</w:t>
        </w:r>
        <w:r w:rsidR="00C71F11">
          <w:rPr>
            <w:webHidden/>
          </w:rPr>
          <w:fldChar w:fldCharType="end"/>
        </w:r>
      </w:hyperlink>
    </w:p>
    <w:p w:rsidR="00C71F11" w:rsidRDefault="00D83C6E">
      <w:pPr>
        <w:pStyle w:val="Sumrio4"/>
        <w:rPr>
          <w:rFonts w:asciiTheme="minorHAnsi" w:eastAsiaTheme="minorEastAsia" w:hAnsiTheme="minorHAnsi"/>
          <w:i w:val="0"/>
          <w:sz w:val="22"/>
          <w:lang w:eastAsia="pt-BR"/>
        </w:rPr>
      </w:pPr>
      <w:hyperlink w:anchor="_Toc488678337" w:history="1">
        <w:r w:rsidR="00C71F11" w:rsidRPr="00DB7490">
          <w:rPr>
            <w:rStyle w:val="Hyperlink"/>
          </w:rPr>
          <w:t>2.5.1.2 Poli(óxido etileno) - PEO</w:t>
        </w:r>
        <w:r w:rsidR="00C71F11">
          <w:rPr>
            <w:webHidden/>
          </w:rPr>
          <w:tab/>
        </w:r>
        <w:r w:rsidR="00C71F11">
          <w:rPr>
            <w:webHidden/>
          </w:rPr>
          <w:fldChar w:fldCharType="begin"/>
        </w:r>
        <w:r w:rsidR="00C71F11">
          <w:rPr>
            <w:webHidden/>
          </w:rPr>
          <w:instrText xml:space="preserve"> PAGEREF _Toc488678337 \h </w:instrText>
        </w:r>
        <w:r w:rsidR="00C71F11">
          <w:rPr>
            <w:webHidden/>
          </w:rPr>
        </w:r>
        <w:r w:rsidR="00C71F11">
          <w:rPr>
            <w:webHidden/>
          </w:rPr>
          <w:fldChar w:fldCharType="separate"/>
        </w:r>
        <w:r w:rsidR="00C71F11">
          <w:rPr>
            <w:webHidden/>
          </w:rPr>
          <w:t>31</w:t>
        </w:r>
        <w:r w:rsidR="00C71F11">
          <w:rPr>
            <w:webHidden/>
          </w:rPr>
          <w:fldChar w:fldCharType="end"/>
        </w:r>
      </w:hyperlink>
    </w:p>
    <w:p w:rsidR="00C71F11" w:rsidRDefault="00D83C6E">
      <w:pPr>
        <w:pStyle w:val="Sumrio3"/>
        <w:tabs>
          <w:tab w:val="right" w:leader="dot" w:pos="9061"/>
        </w:tabs>
        <w:rPr>
          <w:rFonts w:asciiTheme="minorHAnsi" w:eastAsiaTheme="minorEastAsia" w:hAnsiTheme="minorHAnsi"/>
          <w:noProof/>
          <w:sz w:val="22"/>
          <w:lang w:eastAsia="pt-BR"/>
        </w:rPr>
      </w:pPr>
      <w:hyperlink w:anchor="_Toc488678338" w:history="1">
        <w:r w:rsidR="00C71F11" w:rsidRPr="00DB7490">
          <w:rPr>
            <w:rStyle w:val="Hyperlink"/>
            <w:noProof/>
          </w:rPr>
          <w:t>2.5.2 Surfactantes</w:t>
        </w:r>
        <w:r w:rsidR="00C71F11">
          <w:rPr>
            <w:noProof/>
            <w:webHidden/>
          </w:rPr>
          <w:tab/>
        </w:r>
        <w:r w:rsidR="00C71F11">
          <w:rPr>
            <w:noProof/>
            <w:webHidden/>
          </w:rPr>
          <w:fldChar w:fldCharType="begin"/>
        </w:r>
        <w:r w:rsidR="00C71F11">
          <w:rPr>
            <w:noProof/>
            <w:webHidden/>
          </w:rPr>
          <w:instrText xml:space="preserve"> PAGEREF _Toc488678338 \h </w:instrText>
        </w:r>
        <w:r w:rsidR="00C71F11">
          <w:rPr>
            <w:noProof/>
            <w:webHidden/>
          </w:rPr>
        </w:r>
        <w:r w:rsidR="00C71F11">
          <w:rPr>
            <w:noProof/>
            <w:webHidden/>
          </w:rPr>
          <w:fldChar w:fldCharType="separate"/>
        </w:r>
        <w:r w:rsidR="00C71F11">
          <w:rPr>
            <w:noProof/>
            <w:webHidden/>
          </w:rPr>
          <w:t>32</w:t>
        </w:r>
        <w:r w:rsidR="00C71F11">
          <w:rPr>
            <w:noProof/>
            <w:webHidden/>
          </w:rPr>
          <w:fldChar w:fldCharType="end"/>
        </w:r>
      </w:hyperlink>
    </w:p>
    <w:p w:rsidR="00C71F11" w:rsidRDefault="00D83C6E">
      <w:pPr>
        <w:pStyle w:val="Sumrio3"/>
        <w:tabs>
          <w:tab w:val="right" w:leader="dot" w:pos="9061"/>
        </w:tabs>
        <w:rPr>
          <w:rFonts w:asciiTheme="minorHAnsi" w:eastAsiaTheme="minorEastAsia" w:hAnsiTheme="minorHAnsi"/>
          <w:noProof/>
          <w:sz w:val="22"/>
          <w:lang w:eastAsia="pt-BR"/>
        </w:rPr>
      </w:pPr>
      <w:hyperlink w:anchor="_Toc488678339" w:history="1">
        <w:r w:rsidR="00C71F11" w:rsidRPr="00DB7490">
          <w:rPr>
            <w:rStyle w:val="Hyperlink"/>
            <w:noProof/>
          </w:rPr>
          <w:t>2.5.3 Fibras</w:t>
        </w:r>
        <w:r w:rsidR="00C71F11">
          <w:rPr>
            <w:noProof/>
            <w:webHidden/>
          </w:rPr>
          <w:tab/>
        </w:r>
        <w:r w:rsidR="00C71F11">
          <w:rPr>
            <w:noProof/>
            <w:webHidden/>
          </w:rPr>
          <w:fldChar w:fldCharType="begin"/>
        </w:r>
        <w:r w:rsidR="00C71F11">
          <w:rPr>
            <w:noProof/>
            <w:webHidden/>
          </w:rPr>
          <w:instrText xml:space="preserve"> PAGEREF _Toc488678339 \h </w:instrText>
        </w:r>
        <w:r w:rsidR="00C71F11">
          <w:rPr>
            <w:noProof/>
            <w:webHidden/>
          </w:rPr>
        </w:r>
        <w:r w:rsidR="00C71F11">
          <w:rPr>
            <w:noProof/>
            <w:webHidden/>
          </w:rPr>
          <w:fldChar w:fldCharType="separate"/>
        </w:r>
        <w:r w:rsidR="00C71F11">
          <w:rPr>
            <w:noProof/>
            <w:webHidden/>
          </w:rPr>
          <w:t>32</w:t>
        </w:r>
        <w:r w:rsidR="00C71F11">
          <w:rPr>
            <w:noProof/>
            <w:webHidden/>
          </w:rPr>
          <w:fldChar w:fldCharType="end"/>
        </w:r>
      </w:hyperlink>
    </w:p>
    <w:p w:rsidR="00C71F11" w:rsidRDefault="00D83C6E">
      <w:pPr>
        <w:pStyle w:val="Sumrio3"/>
        <w:tabs>
          <w:tab w:val="right" w:leader="dot" w:pos="9061"/>
        </w:tabs>
        <w:rPr>
          <w:rFonts w:asciiTheme="minorHAnsi" w:eastAsiaTheme="minorEastAsia" w:hAnsiTheme="minorHAnsi"/>
          <w:noProof/>
          <w:sz w:val="22"/>
          <w:lang w:eastAsia="pt-BR"/>
        </w:rPr>
      </w:pPr>
      <w:hyperlink w:anchor="_Toc488678340" w:history="1">
        <w:r w:rsidR="00C71F11" w:rsidRPr="00DB7490">
          <w:rPr>
            <w:rStyle w:val="Hyperlink"/>
            <w:noProof/>
          </w:rPr>
          <w:t>2.5.4 Blends</w:t>
        </w:r>
        <w:r w:rsidR="00C71F11">
          <w:rPr>
            <w:noProof/>
            <w:webHidden/>
          </w:rPr>
          <w:tab/>
        </w:r>
        <w:r w:rsidR="00C71F11">
          <w:rPr>
            <w:noProof/>
            <w:webHidden/>
          </w:rPr>
          <w:fldChar w:fldCharType="begin"/>
        </w:r>
        <w:r w:rsidR="00C71F11">
          <w:rPr>
            <w:noProof/>
            <w:webHidden/>
          </w:rPr>
          <w:instrText xml:space="preserve"> PAGEREF _Toc488678340 \h </w:instrText>
        </w:r>
        <w:r w:rsidR="00C71F11">
          <w:rPr>
            <w:noProof/>
            <w:webHidden/>
          </w:rPr>
        </w:r>
        <w:r w:rsidR="00C71F11">
          <w:rPr>
            <w:noProof/>
            <w:webHidden/>
          </w:rPr>
          <w:fldChar w:fldCharType="separate"/>
        </w:r>
        <w:r w:rsidR="00C71F11">
          <w:rPr>
            <w:noProof/>
            <w:webHidden/>
          </w:rPr>
          <w:t>33</w:t>
        </w:r>
        <w:r w:rsidR="00C71F11">
          <w:rPr>
            <w:noProof/>
            <w:webHidden/>
          </w:rPr>
          <w:fldChar w:fldCharType="end"/>
        </w:r>
      </w:hyperlink>
    </w:p>
    <w:p w:rsidR="00C71F11" w:rsidRDefault="00D83C6E">
      <w:pPr>
        <w:pStyle w:val="Sumrio2"/>
        <w:rPr>
          <w:rFonts w:asciiTheme="minorHAnsi" w:eastAsiaTheme="minorEastAsia" w:hAnsiTheme="minorHAnsi"/>
          <w:b w:val="0"/>
          <w:sz w:val="22"/>
          <w:lang w:eastAsia="pt-BR"/>
        </w:rPr>
      </w:pPr>
      <w:hyperlink w:anchor="_Toc488678341" w:history="1">
        <w:r w:rsidR="00C71F11" w:rsidRPr="00DB7490">
          <w:rPr>
            <w:rStyle w:val="Hyperlink"/>
          </w:rPr>
          <w:t>2.6 Degradação e recuperação</w:t>
        </w:r>
        <w:r w:rsidR="00C71F11">
          <w:rPr>
            <w:webHidden/>
          </w:rPr>
          <w:tab/>
        </w:r>
        <w:r w:rsidR="00C71F11">
          <w:rPr>
            <w:webHidden/>
          </w:rPr>
          <w:fldChar w:fldCharType="begin"/>
        </w:r>
        <w:r w:rsidR="00C71F11">
          <w:rPr>
            <w:webHidden/>
          </w:rPr>
          <w:instrText xml:space="preserve"> PAGEREF _Toc488678341 \h </w:instrText>
        </w:r>
        <w:r w:rsidR="00C71F11">
          <w:rPr>
            <w:webHidden/>
          </w:rPr>
        </w:r>
        <w:r w:rsidR="00C71F11">
          <w:rPr>
            <w:webHidden/>
          </w:rPr>
          <w:fldChar w:fldCharType="separate"/>
        </w:r>
        <w:r w:rsidR="00C71F11">
          <w:rPr>
            <w:webHidden/>
          </w:rPr>
          <w:t>33</w:t>
        </w:r>
        <w:r w:rsidR="00C71F11">
          <w:rPr>
            <w:webHidden/>
          </w:rPr>
          <w:fldChar w:fldCharType="end"/>
        </w:r>
      </w:hyperlink>
    </w:p>
    <w:p w:rsidR="00C71F11" w:rsidRDefault="00D83C6E">
      <w:pPr>
        <w:pStyle w:val="Sumrio2"/>
        <w:rPr>
          <w:rFonts w:asciiTheme="minorHAnsi" w:eastAsiaTheme="minorEastAsia" w:hAnsiTheme="minorHAnsi"/>
          <w:b w:val="0"/>
          <w:sz w:val="22"/>
          <w:lang w:eastAsia="pt-BR"/>
        </w:rPr>
      </w:pPr>
      <w:hyperlink w:anchor="_Toc488678342" w:history="1">
        <w:r w:rsidR="00C71F11" w:rsidRPr="00DB7490">
          <w:rPr>
            <w:rStyle w:val="Hyperlink"/>
          </w:rPr>
          <w:t>2.7 Efeito da concentração</w:t>
        </w:r>
        <w:r w:rsidR="00C71F11">
          <w:rPr>
            <w:webHidden/>
          </w:rPr>
          <w:tab/>
        </w:r>
        <w:r w:rsidR="00C71F11">
          <w:rPr>
            <w:webHidden/>
          </w:rPr>
          <w:fldChar w:fldCharType="begin"/>
        </w:r>
        <w:r w:rsidR="00C71F11">
          <w:rPr>
            <w:webHidden/>
          </w:rPr>
          <w:instrText xml:space="preserve"> PAGEREF _Toc488678342 \h </w:instrText>
        </w:r>
        <w:r w:rsidR="00C71F11">
          <w:rPr>
            <w:webHidden/>
          </w:rPr>
        </w:r>
        <w:r w:rsidR="00C71F11">
          <w:rPr>
            <w:webHidden/>
          </w:rPr>
          <w:fldChar w:fldCharType="separate"/>
        </w:r>
        <w:r w:rsidR="00C71F11">
          <w:rPr>
            <w:webHidden/>
          </w:rPr>
          <w:t>34</w:t>
        </w:r>
        <w:r w:rsidR="00C71F11">
          <w:rPr>
            <w:webHidden/>
          </w:rPr>
          <w:fldChar w:fldCharType="end"/>
        </w:r>
      </w:hyperlink>
    </w:p>
    <w:p w:rsidR="00C71F11" w:rsidRDefault="00D83C6E">
      <w:pPr>
        <w:pStyle w:val="Sumrio2"/>
        <w:rPr>
          <w:rFonts w:asciiTheme="minorHAnsi" w:eastAsiaTheme="minorEastAsia" w:hAnsiTheme="minorHAnsi"/>
          <w:b w:val="0"/>
          <w:sz w:val="22"/>
          <w:lang w:eastAsia="pt-BR"/>
        </w:rPr>
      </w:pPr>
      <w:hyperlink w:anchor="_Toc488678343" w:history="1">
        <w:r w:rsidR="00C71F11" w:rsidRPr="00DB7490">
          <w:rPr>
            <w:rStyle w:val="Hyperlink"/>
          </w:rPr>
          <w:t>2.8 Efeito da temperatura</w:t>
        </w:r>
        <w:r w:rsidR="00C71F11">
          <w:rPr>
            <w:webHidden/>
          </w:rPr>
          <w:tab/>
        </w:r>
        <w:r w:rsidR="00C71F11">
          <w:rPr>
            <w:webHidden/>
          </w:rPr>
          <w:fldChar w:fldCharType="begin"/>
        </w:r>
        <w:r w:rsidR="00C71F11">
          <w:rPr>
            <w:webHidden/>
          </w:rPr>
          <w:instrText xml:space="preserve"> PAGEREF _Toc488678343 \h </w:instrText>
        </w:r>
        <w:r w:rsidR="00C71F11">
          <w:rPr>
            <w:webHidden/>
          </w:rPr>
        </w:r>
        <w:r w:rsidR="00C71F11">
          <w:rPr>
            <w:webHidden/>
          </w:rPr>
          <w:fldChar w:fldCharType="separate"/>
        </w:r>
        <w:r w:rsidR="00C71F11">
          <w:rPr>
            <w:webHidden/>
          </w:rPr>
          <w:t>35</w:t>
        </w:r>
        <w:r w:rsidR="00C71F11">
          <w:rPr>
            <w:webHidden/>
          </w:rPr>
          <w:fldChar w:fldCharType="end"/>
        </w:r>
      </w:hyperlink>
    </w:p>
    <w:p w:rsidR="00C71F11" w:rsidRDefault="00D83C6E">
      <w:pPr>
        <w:pStyle w:val="Sumrio2"/>
        <w:rPr>
          <w:rFonts w:asciiTheme="minorHAnsi" w:eastAsiaTheme="minorEastAsia" w:hAnsiTheme="minorHAnsi"/>
          <w:b w:val="0"/>
          <w:sz w:val="22"/>
          <w:lang w:eastAsia="pt-BR"/>
        </w:rPr>
      </w:pPr>
      <w:hyperlink w:anchor="_Toc488678344" w:history="1">
        <w:r w:rsidR="00C71F11" w:rsidRPr="00DB7490">
          <w:rPr>
            <w:rStyle w:val="Hyperlink"/>
          </w:rPr>
          <w:t>2.9 Tarifação de Energia Elétrica</w:t>
        </w:r>
        <w:r w:rsidR="00C71F11">
          <w:rPr>
            <w:webHidden/>
          </w:rPr>
          <w:tab/>
        </w:r>
        <w:r w:rsidR="00C71F11">
          <w:rPr>
            <w:webHidden/>
          </w:rPr>
          <w:fldChar w:fldCharType="begin"/>
        </w:r>
        <w:r w:rsidR="00C71F11">
          <w:rPr>
            <w:webHidden/>
          </w:rPr>
          <w:instrText xml:space="preserve"> PAGEREF _Toc488678344 \h </w:instrText>
        </w:r>
        <w:r w:rsidR="00C71F11">
          <w:rPr>
            <w:webHidden/>
          </w:rPr>
        </w:r>
        <w:r w:rsidR="00C71F11">
          <w:rPr>
            <w:webHidden/>
          </w:rPr>
          <w:fldChar w:fldCharType="separate"/>
        </w:r>
        <w:r w:rsidR="00C71F11">
          <w:rPr>
            <w:webHidden/>
          </w:rPr>
          <w:t>37</w:t>
        </w:r>
        <w:r w:rsidR="00C71F11">
          <w:rPr>
            <w:webHidden/>
          </w:rPr>
          <w:fldChar w:fldCharType="end"/>
        </w:r>
      </w:hyperlink>
    </w:p>
    <w:p w:rsidR="00C71F11" w:rsidRDefault="00D83C6E">
      <w:pPr>
        <w:pStyle w:val="Sumrio3"/>
        <w:tabs>
          <w:tab w:val="right" w:leader="dot" w:pos="9061"/>
        </w:tabs>
        <w:rPr>
          <w:rFonts w:asciiTheme="minorHAnsi" w:eastAsiaTheme="minorEastAsia" w:hAnsiTheme="minorHAnsi"/>
          <w:noProof/>
          <w:sz w:val="22"/>
          <w:lang w:eastAsia="pt-BR"/>
        </w:rPr>
      </w:pPr>
      <w:hyperlink w:anchor="_Toc488678345" w:history="1">
        <w:r w:rsidR="00C71F11" w:rsidRPr="00DB7490">
          <w:rPr>
            <w:rStyle w:val="Hyperlink"/>
            <w:noProof/>
          </w:rPr>
          <w:t>2.9.1 Consumo de energia elétrica</w:t>
        </w:r>
        <w:r w:rsidR="00C71F11">
          <w:rPr>
            <w:noProof/>
            <w:webHidden/>
          </w:rPr>
          <w:tab/>
        </w:r>
        <w:r w:rsidR="00C71F11">
          <w:rPr>
            <w:noProof/>
            <w:webHidden/>
          </w:rPr>
          <w:fldChar w:fldCharType="begin"/>
        </w:r>
        <w:r w:rsidR="00C71F11">
          <w:rPr>
            <w:noProof/>
            <w:webHidden/>
          </w:rPr>
          <w:instrText xml:space="preserve"> PAGEREF _Toc488678345 \h </w:instrText>
        </w:r>
        <w:r w:rsidR="00C71F11">
          <w:rPr>
            <w:noProof/>
            <w:webHidden/>
          </w:rPr>
        </w:r>
        <w:r w:rsidR="00C71F11">
          <w:rPr>
            <w:noProof/>
            <w:webHidden/>
          </w:rPr>
          <w:fldChar w:fldCharType="separate"/>
        </w:r>
        <w:r w:rsidR="00C71F11">
          <w:rPr>
            <w:noProof/>
            <w:webHidden/>
          </w:rPr>
          <w:t>37</w:t>
        </w:r>
        <w:r w:rsidR="00C71F11">
          <w:rPr>
            <w:noProof/>
            <w:webHidden/>
          </w:rPr>
          <w:fldChar w:fldCharType="end"/>
        </w:r>
      </w:hyperlink>
    </w:p>
    <w:p w:rsidR="00C71F11" w:rsidRDefault="00D83C6E">
      <w:pPr>
        <w:pStyle w:val="Sumrio3"/>
        <w:tabs>
          <w:tab w:val="right" w:leader="dot" w:pos="9061"/>
        </w:tabs>
        <w:rPr>
          <w:rFonts w:asciiTheme="minorHAnsi" w:eastAsiaTheme="minorEastAsia" w:hAnsiTheme="minorHAnsi"/>
          <w:noProof/>
          <w:sz w:val="22"/>
          <w:lang w:eastAsia="pt-BR"/>
        </w:rPr>
      </w:pPr>
      <w:hyperlink w:anchor="_Toc488678346" w:history="1">
        <w:r w:rsidR="00C71F11" w:rsidRPr="00DB7490">
          <w:rPr>
            <w:rStyle w:val="Hyperlink"/>
            <w:noProof/>
          </w:rPr>
          <w:t>2.9.2 Demanda de energia elétrica</w:t>
        </w:r>
        <w:r w:rsidR="00C71F11">
          <w:rPr>
            <w:noProof/>
            <w:webHidden/>
          </w:rPr>
          <w:tab/>
        </w:r>
        <w:r w:rsidR="00C71F11">
          <w:rPr>
            <w:noProof/>
            <w:webHidden/>
          </w:rPr>
          <w:fldChar w:fldCharType="begin"/>
        </w:r>
        <w:r w:rsidR="00C71F11">
          <w:rPr>
            <w:noProof/>
            <w:webHidden/>
          </w:rPr>
          <w:instrText xml:space="preserve"> PAGEREF _Toc488678346 \h </w:instrText>
        </w:r>
        <w:r w:rsidR="00C71F11">
          <w:rPr>
            <w:noProof/>
            <w:webHidden/>
          </w:rPr>
        </w:r>
        <w:r w:rsidR="00C71F11">
          <w:rPr>
            <w:noProof/>
            <w:webHidden/>
          </w:rPr>
          <w:fldChar w:fldCharType="separate"/>
        </w:r>
        <w:r w:rsidR="00C71F11">
          <w:rPr>
            <w:noProof/>
            <w:webHidden/>
          </w:rPr>
          <w:t>37</w:t>
        </w:r>
        <w:r w:rsidR="00C71F11">
          <w:rPr>
            <w:noProof/>
            <w:webHidden/>
          </w:rPr>
          <w:fldChar w:fldCharType="end"/>
        </w:r>
      </w:hyperlink>
    </w:p>
    <w:p w:rsidR="00C71F11" w:rsidRDefault="00D83C6E">
      <w:pPr>
        <w:pStyle w:val="Sumrio3"/>
        <w:tabs>
          <w:tab w:val="right" w:leader="dot" w:pos="9061"/>
        </w:tabs>
        <w:rPr>
          <w:rFonts w:asciiTheme="minorHAnsi" w:eastAsiaTheme="minorEastAsia" w:hAnsiTheme="minorHAnsi"/>
          <w:noProof/>
          <w:sz w:val="22"/>
          <w:lang w:eastAsia="pt-BR"/>
        </w:rPr>
      </w:pPr>
      <w:hyperlink w:anchor="_Toc488678347" w:history="1">
        <w:r w:rsidR="00C71F11" w:rsidRPr="00DB7490">
          <w:rPr>
            <w:rStyle w:val="Hyperlink"/>
            <w:noProof/>
          </w:rPr>
          <w:t>2.9.3 Horário de ponta e horário hora de ponta</w:t>
        </w:r>
        <w:r w:rsidR="00C71F11">
          <w:rPr>
            <w:noProof/>
            <w:webHidden/>
          </w:rPr>
          <w:tab/>
        </w:r>
        <w:r w:rsidR="00C71F11">
          <w:rPr>
            <w:noProof/>
            <w:webHidden/>
          </w:rPr>
          <w:fldChar w:fldCharType="begin"/>
        </w:r>
        <w:r w:rsidR="00C71F11">
          <w:rPr>
            <w:noProof/>
            <w:webHidden/>
          </w:rPr>
          <w:instrText xml:space="preserve"> PAGEREF _Toc488678347 \h </w:instrText>
        </w:r>
        <w:r w:rsidR="00C71F11">
          <w:rPr>
            <w:noProof/>
            <w:webHidden/>
          </w:rPr>
        </w:r>
        <w:r w:rsidR="00C71F11">
          <w:rPr>
            <w:noProof/>
            <w:webHidden/>
          </w:rPr>
          <w:fldChar w:fldCharType="separate"/>
        </w:r>
        <w:r w:rsidR="00C71F11">
          <w:rPr>
            <w:noProof/>
            <w:webHidden/>
          </w:rPr>
          <w:t>38</w:t>
        </w:r>
        <w:r w:rsidR="00C71F11">
          <w:rPr>
            <w:noProof/>
            <w:webHidden/>
          </w:rPr>
          <w:fldChar w:fldCharType="end"/>
        </w:r>
      </w:hyperlink>
    </w:p>
    <w:p w:rsidR="00C71F11" w:rsidRDefault="00D83C6E">
      <w:pPr>
        <w:pStyle w:val="Sumrio3"/>
        <w:tabs>
          <w:tab w:val="right" w:leader="dot" w:pos="9061"/>
        </w:tabs>
        <w:rPr>
          <w:rFonts w:asciiTheme="minorHAnsi" w:eastAsiaTheme="minorEastAsia" w:hAnsiTheme="minorHAnsi"/>
          <w:noProof/>
          <w:sz w:val="22"/>
          <w:lang w:eastAsia="pt-BR"/>
        </w:rPr>
      </w:pPr>
      <w:hyperlink w:anchor="_Toc488678348" w:history="1">
        <w:r w:rsidR="00C71F11" w:rsidRPr="00DB7490">
          <w:rPr>
            <w:rStyle w:val="Hyperlink"/>
            <w:noProof/>
          </w:rPr>
          <w:t>2.9.4 Classificação dos consumidores</w:t>
        </w:r>
        <w:r w:rsidR="00C71F11">
          <w:rPr>
            <w:noProof/>
            <w:webHidden/>
          </w:rPr>
          <w:tab/>
        </w:r>
        <w:r w:rsidR="00C71F11">
          <w:rPr>
            <w:noProof/>
            <w:webHidden/>
          </w:rPr>
          <w:fldChar w:fldCharType="begin"/>
        </w:r>
        <w:r w:rsidR="00C71F11">
          <w:rPr>
            <w:noProof/>
            <w:webHidden/>
          </w:rPr>
          <w:instrText xml:space="preserve"> PAGEREF _Toc488678348 \h </w:instrText>
        </w:r>
        <w:r w:rsidR="00C71F11">
          <w:rPr>
            <w:noProof/>
            <w:webHidden/>
          </w:rPr>
        </w:r>
        <w:r w:rsidR="00C71F11">
          <w:rPr>
            <w:noProof/>
            <w:webHidden/>
          </w:rPr>
          <w:fldChar w:fldCharType="separate"/>
        </w:r>
        <w:r w:rsidR="00C71F11">
          <w:rPr>
            <w:noProof/>
            <w:webHidden/>
          </w:rPr>
          <w:t>38</w:t>
        </w:r>
        <w:r w:rsidR="00C71F11">
          <w:rPr>
            <w:noProof/>
            <w:webHidden/>
          </w:rPr>
          <w:fldChar w:fldCharType="end"/>
        </w:r>
      </w:hyperlink>
    </w:p>
    <w:p w:rsidR="00C71F11" w:rsidRDefault="00D83C6E">
      <w:pPr>
        <w:pStyle w:val="Sumrio3"/>
        <w:tabs>
          <w:tab w:val="right" w:leader="dot" w:pos="9061"/>
        </w:tabs>
        <w:rPr>
          <w:rFonts w:asciiTheme="minorHAnsi" w:eastAsiaTheme="minorEastAsia" w:hAnsiTheme="minorHAnsi"/>
          <w:noProof/>
          <w:sz w:val="22"/>
          <w:lang w:eastAsia="pt-BR"/>
        </w:rPr>
      </w:pPr>
      <w:hyperlink w:anchor="_Toc488678349" w:history="1">
        <w:r w:rsidR="00C71F11" w:rsidRPr="00DB7490">
          <w:rPr>
            <w:rStyle w:val="Hyperlink"/>
            <w:noProof/>
          </w:rPr>
          <w:t>2.9.5 Estrutura tarifária</w:t>
        </w:r>
        <w:r w:rsidR="00C71F11">
          <w:rPr>
            <w:noProof/>
            <w:webHidden/>
          </w:rPr>
          <w:tab/>
        </w:r>
        <w:r w:rsidR="00C71F11">
          <w:rPr>
            <w:noProof/>
            <w:webHidden/>
          </w:rPr>
          <w:fldChar w:fldCharType="begin"/>
        </w:r>
        <w:r w:rsidR="00C71F11">
          <w:rPr>
            <w:noProof/>
            <w:webHidden/>
          </w:rPr>
          <w:instrText xml:space="preserve"> PAGEREF _Toc488678349 \h </w:instrText>
        </w:r>
        <w:r w:rsidR="00C71F11">
          <w:rPr>
            <w:noProof/>
            <w:webHidden/>
          </w:rPr>
        </w:r>
        <w:r w:rsidR="00C71F11">
          <w:rPr>
            <w:noProof/>
            <w:webHidden/>
          </w:rPr>
          <w:fldChar w:fldCharType="separate"/>
        </w:r>
        <w:r w:rsidR="00C71F11">
          <w:rPr>
            <w:noProof/>
            <w:webHidden/>
          </w:rPr>
          <w:t>39</w:t>
        </w:r>
        <w:r w:rsidR="00C71F11">
          <w:rPr>
            <w:noProof/>
            <w:webHidden/>
          </w:rPr>
          <w:fldChar w:fldCharType="end"/>
        </w:r>
      </w:hyperlink>
    </w:p>
    <w:p w:rsidR="00C71F11" w:rsidRDefault="00D83C6E">
      <w:pPr>
        <w:pStyle w:val="Sumrio4"/>
        <w:rPr>
          <w:rFonts w:asciiTheme="minorHAnsi" w:eastAsiaTheme="minorEastAsia" w:hAnsiTheme="minorHAnsi"/>
          <w:i w:val="0"/>
          <w:sz w:val="22"/>
          <w:lang w:eastAsia="pt-BR"/>
        </w:rPr>
      </w:pPr>
      <w:hyperlink w:anchor="_Toc488678350" w:history="1">
        <w:r w:rsidR="00C71F11" w:rsidRPr="00DB7490">
          <w:rPr>
            <w:rStyle w:val="Hyperlink"/>
          </w:rPr>
          <w:t>2.9.5.1 Estrutura tarifária convencional</w:t>
        </w:r>
        <w:r w:rsidR="00C71F11">
          <w:rPr>
            <w:webHidden/>
          </w:rPr>
          <w:tab/>
        </w:r>
        <w:r w:rsidR="00C71F11">
          <w:rPr>
            <w:webHidden/>
          </w:rPr>
          <w:fldChar w:fldCharType="begin"/>
        </w:r>
        <w:r w:rsidR="00C71F11">
          <w:rPr>
            <w:webHidden/>
          </w:rPr>
          <w:instrText xml:space="preserve"> PAGEREF _Toc488678350 \h </w:instrText>
        </w:r>
        <w:r w:rsidR="00C71F11">
          <w:rPr>
            <w:webHidden/>
          </w:rPr>
        </w:r>
        <w:r w:rsidR="00C71F11">
          <w:rPr>
            <w:webHidden/>
          </w:rPr>
          <w:fldChar w:fldCharType="separate"/>
        </w:r>
        <w:r w:rsidR="00C71F11">
          <w:rPr>
            <w:webHidden/>
          </w:rPr>
          <w:t>39</w:t>
        </w:r>
        <w:r w:rsidR="00C71F11">
          <w:rPr>
            <w:webHidden/>
          </w:rPr>
          <w:fldChar w:fldCharType="end"/>
        </w:r>
      </w:hyperlink>
    </w:p>
    <w:p w:rsidR="00C71F11" w:rsidRDefault="00D83C6E">
      <w:pPr>
        <w:pStyle w:val="Sumrio4"/>
        <w:rPr>
          <w:rFonts w:asciiTheme="minorHAnsi" w:eastAsiaTheme="minorEastAsia" w:hAnsiTheme="minorHAnsi"/>
          <w:i w:val="0"/>
          <w:sz w:val="22"/>
          <w:lang w:eastAsia="pt-BR"/>
        </w:rPr>
      </w:pPr>
      <w:hyperlink w:anchor="_Toc488678351" w:history="1">
        <w:r w:rsidR="00C71F11" w:rsidRPr="00DB7490">
          <w:rPr>
            <w:rStyle w:val="Hyperlink"/>
          </w:rPr>
          <w:t>2.9.5.2 Estrutura tarifária verde</w:t>
        </w:r>
        <w:r w:rsidR="00C71F11">
          <w:rPr>
            <w:webHidden/>
          </w:rPr>
          <w:tab/>
        </w:r>
        <w:r w:rsidR="00C71F11">
          <w:rPr>
            <w:webHidden/>
          </w:rPr>
          <w:fldChar w:fldCharType="begin"/>
        </w:r>
        <w:r w:rsidR="00C71F11">
          <w:rPr>
            <w:webHidden/>
          </w:rPr>
          <w:instrText xml:space="preserve"> PAGEREF _Toc488678351 \h </w:instrText>
        </w:r>
        <w:r w:rsidR="00C71F11">
          <w:rPr>
            <w:webHidden/>
          </w:rPr>
        </w:r>
        <w:r w:rsidR="00C71F11">
          <w:rPr>
            <w:webHidden/>
          </w:rPr>
          <w:fldChar w:fldCharType="separate"/>
        </w:r>
        <w:r w:rsidR="00C71F11">
          <w:rPr>
            <w:webHidden/>
          </w:rPr>
          <w:t>39</w:t>
        </w:r>
        <w:r w:rsidR="00C71F11">
          <w:rPr>
            <w:webHidden/>
          </w:rPr>
          <w:fldChar w:fldCharType="end"/>
        </w:r>
      </w:hyperlink>
    </w:p>
    <w:p w:rsidR="00C71F11" w:rsidRDefault="00D83C6E">
      <w:pPr>
        <w:pStyle w:val="Sumrio4"/>
        <w:rPr>
          <w:rFonts w:asciiTheme="minorHAnsi" w:eastAsiaTheme="minorEastAsia" w:hAnsiTheme="minorHAnsi"/>
          <w:i w:val="0"/>
          <w:sz w:val="22"/>
          <w:lang w:eastAsia="pt-BR"/>
        </w:rPr>
      </w:pPr>
      <w:hyperlink w:anchor="_Toc488678352" w:history="1">
        <w:r w:rsidR="00C71F11" w:rsidRPr="00DB7490">
          <w:rPr>
            <w:rStyle w:val="Hyperlink"/>
          </w:rPr>
          <w:t>2.9.5.3 Estrutura tarifária azul</w:t>
        </w:r>
        <w:r w:rsidR="00C71F11">
          <w:rPr>
            <w:webHidden/>
          </w:rPr>
          <w:tab/>
        </w:r>
        <w:r w:rsidR="00C71F11">
          <w:rPr>
            <w:webHidden/>
          </w:rPr>
          <w:fldChar w:fldCharType="begin"/>
        </w:r>
        <w:r w:rsidR="00C71F11">
          <w:rPr>
            <w:webHidden/>
          </w:rPr>
          <w:instrText xml:space="preserve"> PAGEREF _Toc488678352 \h </w:instrText>
        </w:r>
        <w:r w:rsidR="00C71F11">
          <w:rPr>
            <w:webHidden/>
          </w:rPr>
        </w:r>
        <w:r w:rsidR="00C71F11">
          <w:rPr>
            <w:webHidden/>
          </w:rPr>
          <w:fldChar w:fldCharType="separate"/>
        </w:r>
        <w:r w:rsidR="00C71F11">
          <w:rPr>
            <w:webHidden/>
          </w:rPr>
          <w:t>40</w:t>
        </w:r>
        <w:r w:rsidR="00C71F11">
          <w:rPr>
            <w:webHidden/>
          </w:rPr>
          <w:fldChar w:fldCharType="end"/>
        </w:r>
      </w:hyperlink>
    </w:p>
    <w:p w:rsidR="00C71F11" w:rsidRDefault="00D83C6E">
      <w:pPr>
        <w:pStyle w:val="Sumrio3"/>
        <w:tabs>
          <w:tab w:val="right" w:leader="dot" w:pos="9061"/>
        </w:tabs>
        <w:rPr>
          <w:rFonts w:asciiTheme="minorHAnsi" w:eastAsiaTheme="minorEastAsia" w:hAnsiTheme="minorHAnsi"/>
          <w:noProof/>
          <w:sz w:val="22"/>
          <w:lang w:eastAsia="pt-BR"/>
        </w:rPr>
      </w:pPr>
      <w:hyperlink w:anchor="_Toc488678353" w:history="1">
        <w:r w:rsidR="00C71F11" w:rsidRPr="00DB7490">
          <w:rPr>
            <w:rStyle w:val="Hyperlink"/>
            <w:noProof/>
          </w:rPr>
          <w:t>2.9.6 Bandeiras tarifárias</w:t>
        </w:r>
        <w:r w:rsidR="00C71F11">
          <w:rPr>
            <w:noProof/>
            <w:webHidden/>
          </w:rPr>
          <w:tab/>
        </w:r>
        <w:r w:rsidR="00C71F11">
          <w:rPr>
            <w:noProof/>
            <w:webHidden/>
          </w:rPr>
          <w:fldChar w:fldCharType="begin"/>
        </w:r>
        <w:r w:rsidR="00C71F11">
          <w:rPr>
            <w:noProof/>
            <w:webHidden/>
          </w:rPr>
          <w:instrText xml:space="preserve"> PAGEREF _Toc488678353 \h </w:instrText>
        </w:r>
        <w:r w:rsidR="00C71F11">
          <w:rPr>
            <w:noProof/>
            <w:webHidden/>
          </w:rPr>
        </w:r>
        <w:r w:rsidR="00C71F11">
          <w:rPr>
            <w:noProof/>
            <w:webHidden/>
          </w:rPr>
          <w:fldChar w:fldCharType="separate"/>
        </w:r>
        <w:r w:rsidR="00C71F11">
          <w:rPr>
            <w:noProof/>
            <w:webHidden/>
          </w:rPr>
          <w:t>40</w:t>
        </w:r>
        <w:r w:rsidR="00C71F11">
          <w:rPr>
            <w:noProof/>
            <w:webHidden/>
          </w:rPr>
          <w:fldChar w:fldCharType="end"/>
        </w:r>
      </w:hyperlink>
    </w:p>
    <w:p w:rsidR="00C71F11" w:rsidRDefault="00D83C6E">
      <w:pPr>
        <w:pStyle w:val="Sumrio3"/>
        <w:tabs>
          <w:tab w:val="right" w:leader="dot" w:pos="9061"/>
        </w:tabs>
        <w:rPr>
          <w:rFonts w:asciiTheme="minorHAnsi" w:eastAsiaTheme="minorEastAsia" w:hAnsiTheme="minorHAnsi"/>
          <w:noProof/>
          <w:sz w:val="22"/>
          <w:lang w:eastAsia="pt-BR"/>
        </w:rPr>
      </w:pPr>
      <w:hyperlink w:anchor="_Toc488678354" w:history="1">
        <w:r w:rsidR="00C71F11" w:rsidRPr="00DB7490">
          <w:rPr>
            <w:rStyle w:val="Hyperlink"/>
            <w:noProof/>
          </w:rPr>
          <w:t>2.9.7 Tributos aplicáveis ao setor elétrico</w:t>
        </w:r>
        <w:r w:rsidR="00C71F11">
          <w:rPr>
            <w:noProof/>
            <w:webHidden/>
          </w:rPr>
          <w:tab/>
        </w:r>
        <w:r w:rsidR="00C71F11">
          <w:rPr>
            <w:noProof/>
            <w:webHidden/>
          </w:rPr>
          <w:fldChar w:fldCharType="begin"/>
        </w:r>
        <w:r w:rsidR="00C71F11">
          <w:rPr>
            <w:noProof/>
            <w:webHidden/>
          </w:rPr>
          <w:instrText xml:space="preserve"> PAGEREF _Toc488678354 \h </w:instrText>
        </w:r>
        <w:r w:rsidR="00C71F11">
          <w:rPr>
            <w:noProof/>
            <w:webHidden/>
          </w:rPr>
        </w:r>
        <w:r w:rsidR="00C71F11">
          <w:rPr>
            <w:noProof/>
            <w:webHidden/>
          </w:rPr>
          <w:fldChar w:fldCharType="separate"/>
        </w:r>
        <w:r w:rsidR="00C71F11">
          <w:rPr>
            <w:noProof/>
            <w:webHidden/>
          </w:rPr>
          <w:t>41</w:t>
        </w:r>
        <w:r w:rsidR="00C71F11">
          <w:rPr>
            <w:noProof/>
            <w:webHidden/>
          </w:rPr>
          <w:fldChar w:fldCharType="end"/>
        </w:r>
      </w:hyperlink>
    </w:p>
    <w:p w:rsidR="00C71F11" w:rsidRDefault="00D83C6E">
      <w:pPr>
        <w:pStyle w:val="Sumrio2"/>
        <w:rPr>
          <w:rFonts w:asciiTheme="minorHAnsi" w:eastAsiaTheme="minorEastAsia" w:hAnsiTheme="minorHAnsi"/>
          <w:b w:val="0"/>
          <w:sz w:val="22"/>
          <w:lang w:eastAsia="pt-BR"/>
        </w:rPr>
      </w:pPr>
      <w:hyperlink w:anchor="_Toc488678355" w:history="1">
        <w:r w:rsidR="00C71F11" w:rsidRPr="00DB7490">
          <w:rPr>
            <w:rStyle w:val="Hyperlink"/>
          </w:rPr>
          <w:t>2.10 Potência Elétrica</w:t>
        </w:r>
        <w:r w:rsidR="00C71F11">
          <w:rPr>
            <w:webHidden/>
          </w:rPr>
          <w:tab/>
        </w:r>
        <w:r w:rsidR="00C71F11">
          <w:rPr>
            <w:webHidden/>
          </w:rPr>
          <w:fldChar w:fldCharType="begin"/>
        </w:r>
        <w:r w:rsidR="00C71F11">
          <w:rPr>
            <w:webHidden/>
          </w:rPr>
          <w:instrText xml:space="preserve"> PAGEREF _Toc488678355 \h </w:instrText>
        </w:r>
        <w:r w:rsidR="00C71F11">
          <w:rPr>
            <w:webHidden/>
          </w:rPr>
        </w:r>
        <w:r w:rsidR="00C71F11">
          <w:rPr>
            <w:webHidden/>
          </w:rPr>
          <w:fldChar w:fldCharType="separate"/>
        </w:r>
        <w:r w:rsidR="00C71F11">
          <w:rPr>
            <w:webHidden/>
          </w:rPr>
          <w:t>42</w:t>
        </w:r>
        <w:r w:rsidR="00C71F11">
          <w:rPr>
            <w:webHidden/>
          </w:rPr>
          <w:fldChar w:fldCharType="end"/>
        </w:r>
      </w:hyperlink>
    </w:p>
    <w:p w:rsidR="00C71F11" w:rsidRDefault="00D83C6E">
      <w:pPr>
        <w:pStyle w:val="Sumrio3"/>
        <w:tabs>
          <w:tab w:val="right" w:leader="dot" w:pos="9061"/>
        </w:tabs>
        <w:rPr>
          <w:rFonts w:asciiTheme="minorHAnsi" w:eastAsiaTheme="minorEastAsia" w:hAnsiTheme="minorHAnsi"/>
          <w:noProof/>
          <w:sz w:val="22"/>
          <w:lang w:eastAsia="pt-BR"/>
        </w:rPr>
      </w:pPr>
      <w:hyperlink w:anchor="_Toc488678356" w:history="1">
        <w:r w:rsidR="00C71F11" w:rsidRPr="00DB7490">
          <w:rPr>
            <w:rStyle w:val="Hyperlink"/>
            <w:noProof/>
          </w:rPr>
          <w:t>2.10.1 Correção do fator de potência</w:t>
        </w:r>
        <w:r w:rsidR="00C71F11">
          <w:rPr>
            <w:noProof/>
            <w:webHidden/>
          </w:rPr>
          <w:tab/>
        </w:r>
        <w:r w:rsidR="00C71F11">
          <w:rPr>
            <w:noProof/>
            <w:webHidden/>
          </w:rPr>
          <w:fldChar w:fldCharType="begin"/>
        </w:r>
        <w:r w:rsidR="00C71F11">
          <w:rPr>
            <w:noProof/>
            <w:webHidden/>
          </w:rPr>
          <w:instrText xml:space="preserve"> PAGEREF _Toc488678356 \h </w:instrText>
        </w:r>
        <w:r w:rsidR="00C71F11">
          <w:rPr>
            <w:noProof/>
            <w:webHidden/>
          </w:rPr>
        </w:r>
        <w:r w:rsidR="00C71F11">
          <w:rPr>
            <w:noProof/>
            <w:webHidden/>
          </w:rPr>
          <w:fldChar w:fldCharType="separate"/>
        </w:r>
        <w:r w:rsidR="00C71F11">
          <w:rPr>
            <w:noProof/>
            <w:webHidden/>
          </w:rPr>
          <w:t>43</w:t>
        </w:r>
        <w:r w:rsidR="00C71F11">
          <w:rPr>
            <w:noProof/>
            <w:webHidden/>
          </w:rPr>
          <w:fldChar w:fldCharType="end"/>
        </w:r>
      </w:hyperlink>
    </w:p>
    <w:p w:rsidR="00C71F11" w:rsidRDefault="00D83C6E">
      <w:pPr>
        <w:pStyle w:val="Sumrio2"/>
        <w:rPr>
          <w:rFonts w:asciiTheme="minorHAnsi" w:eastAsiaTheme="minorEastAsia" w:hAnsiTheme="minorHAnsi"/>
          <w:b w:val="0"/>
          <w:sz w:val="22"/>
          <w:lang w:eastAsia="pt-BR"/>
        </w:rPr>
      </w:pPr>
      <w:hyperlink w:anchor="_Toc488678357" w:history="1">
        <w:r w:rsidR="00C71F11" w:rsidRPr="00DB7490">
          <w:rPr>
            <w:rStyle w:val="Hyperlink"/>
          </w:rPr>
          <w:t>2.11 Ferramentas de análise de investimento</w:t>
        </w:r>
        <w:r w:rsidR="00C71F11">
          <w:rPr>
            <w:webHidden/>
          </w:rPr>
          <w:tab/>
        </w:r>
        <w:r w:rsidR="00C71F11">
          <w:rPr>
            <w:webHidden/>
          </w:rPr>
          <w:fldChar w:fldCharType="begin"/>
        </w:r>
        <w:r w:rsidR="00C71F11">
          <w:rPr>
            <w:webHidden/>
          </w:rPr>
          <w:instrText xml:space="preserve"> PAGEREF _Toc488678357 \h </w:instrText>
        </w:r>
        <w:r w:rsidR="00C71F11">
          <w:rPr>
            <w:webHidden/>
          </w:rPr>
        </w:r>
        <w:r w:rsidR="00C71F11">
          <w:rPr>
            <w:webHidden/>
          </w:rPr>
          <w:fldChar w:fldCharType="separate"/>
        </w:r>
        <w:r w:rsidR="00C71F11">
          <w:rPr>
            <w:webHidden/>
          </w:rPr>
          <w:t>44</w:t>
        </w:r>
        <w:r w:rsidR="00C71F11">
          <w:rPr>
            <w:webHidden/>
          </w:rPr>
          <w:fldChar w:fldCharType="end"/>
        </w:r>
      </w:hyperlink>
    </w:p>
    <w:p w:rsidR="00C71F11" w:rsidRDefault="00D83C6E">
      <w:pPr>
        <w:pStyle w:val="Sumrio1"/>
        <w:tabs>
          <w:tab w:val="left" w:pos="480"/>
        </w:tabs>
        <w:rPr>
          <w:rFonts w:asciiTheme="minorHAnsi" w:eastAsiaTheme="minorEastAsia" w:hAnsiTheme="minorHAnsi"/>
          <w:b w:val="0"/>
          <w:sz w:val="22"/>
          <w:lang w:eastAsia="pt-BR"/>
        </w:rPr>
      </w:pPr>
      <w:hyperlink w:anchor="_Toc488678358" w:history="1">
        <w:r w:rsidR="00C71F11" w:rsidRPr="00DB7490">
          <w:rPr>
            <w:rStyle w:val="Hyperlink"/>
          </w:rPr>
          <w:t>3.</w:t>
        </w:r>
        <w:r w:rsidR="00C71F11">
          <w:rPr>
            <w:rFonts w:asciiTheme="minorHAnsi" w:eastAsiaTheme="minorEastAsia" w:hAnsiTheme="minorHAnsi"/>
            <w:b w:val="0"/>
            <w:sz w:val="22"/>
            <w:lang w:eastAsia="pt-BR"/>
          </w:rPr>
          <w:tab/>
        </w:r>
        <w:r w:rsidR="00C71F11" w:rsidRPr="00DB7490">
          <w:rPr>
            <w:rStyle w:val="Hyperlink"/>
          </w:rPr>
          <w:t>METODOLOGIA</w:t>
        </w:r>
        <w:r w:rsidR="00C71F11">
          <w:rPr>
            <w:webHidden/>
          </w:rPr>
          <w:tab/>
        </w:r>
        <w:r w:rsidR="00C71F11">
          <w:rPr>
            <w:webHidden/>
          </w:rPr>
          <w:fldChar w:fldCharType="begin"/>
        </w:r>
        <w:r w:rsidR="00C71F11">
          <w:rPr>
            <w:webHidden/>
          </w:rPr>
          <w:instrText xml:space="preserve"> PAGEREF _Toc488678358 \h </w:instrText>
        </w:r>
        <w:r w:rsidR="00C71F11">
          <w:rPr>
            <w:webHidden/>
          </w:rPr>
        </w:r>
        <w:r w:rsidR="00C71F11">
          <w:rPr>
            <w:webHidden/>
          </w:rPr>
          <w:fldChar w:fldCharType="separate"/>
        </w:r>
        <w:r w:rsidR="00C71F11">
          <w:rPr>
            <w:webHidden/>
          </w:rPr>
          <w:t>45</w:t>
        </w:r>
        <w:r w:rsidR="00C71F11">
          <w:rPr>
            <w:webHidden/>
          </w:rPr>
          <w:fldChar w:fldCharType="end"/>
        </w:r>
      </w:hyperlink>
    </w:p>
    <w:p w:rsidR="00C71F11" w:rsidRDefault="00D83C6E">
      <w:pPr>
        <w:pStyle w:val="Sumrio2"/>
        <w:rPr>
          <w:rFonts w:asciiTheme="minorHAnsi" w:eastAsiaTheme="minorEastAsia" w:hAnsiTheme="minorHAnsi"/>
          <w:b w:val="0"/>
          <w:sz w:val="22"/>
          <w:lang w:eastAsia="pt-BR"/>
        </w:rPr>
      </w:pPr>
      <w:hyperlink w:anchor="_Toc488678359" w:history="1">
        <w:r w:rsidR="00C71F11" w:rsidRPr="00DB7490">
          <w:rPr>
            <w:rStyle w:val="Hyperlink"/>
          </w:rPr>
          <w:t>3.1 Montagem Experimental</w:t>
        </w:r>
        <w:r w:rsidR="00C71F11">
          <w:rPr>
            <w:webHidden/>
          </w:rPr>
          <w:tab/>
        </w:r>
        <w:r w:rsidR="00C71F11">
          <w:rPr>
            <w:webHidden/>
          </w:rPr>
          <w:fldChar w:fldCharType="begin"/>
        </w:r>
        <w:r w:rsidR="00C71F11">
          <w:rPr>
            <w:webHidden/>
          </w:rPr>
          <w:instrText xml:space="preserve"> PAGEREF _Toc488678359 \h </w:instrText>
        </w:r>
        <w:r w:rsidR="00C71F11">
          <w:rPr>
            <w:webHidden/>
          </w:rPr>
        </w:r>
        <w:r w:rsidR="00C71F11">
          <w:rPr>
            <w:webHidden/>
          </w:rPr>
          <w:fldChar w:fldCharType="separate"/>
        </w:r>
        <w:r w:rsidR="00C71F11">
          <w:rPr>
            <w:webHidden/>
          </w:rPr>
          <w:t>45</w:t>
        </w:r>
        <w:r w:rsidR="00C71F11">
          <w:rPr>
            <w:webHidden/>
          </w:rPr>
          <w:fldChar w:fldCharType="end"/>
        </w:r>
      </w:hyperlink>
    </w:p>
    <w:p w:rsidR="00C71F11" w:rsidRDefault="00D83C6E">
      <w:pPr>
        <w:pStyle w:val="Sumrio2"/>
        <w:rPr>
          <w:rFonts w:asciiTheme="minorHAnsi" w:eastAsiaTheme="minorEastAsia" w:hAnsiTheme="minorHAnsi"/>
          <w:b w:val="0"/>
          <w:sz w:val="22"/>
          <w:lang w:eastAsia="pt-BR"/>
        </w:rPr>
      </w:pPr>
      <w:hyperlink w:anchor="_Toc488678360" w:history="1">
        <w:r w:rsidR="00C71F11" w:rsidRPr="00DB7490">
          <w:rPr>
            <w:rStyle w:val="Hyperlink"/>
          </w:rPr>
          <w:t>3.2 Descrição do ensaio</w:t>
        </w:r>
        <w:r w:rsidR="00C71F11">
          <w:rPr>
            <w:webHidden/>
          </w:rPr>
          <w:tab/>
        </w:r>
        <w:r w:rsidR="00C71F11">
          <w:rPr>
            <w:webHidden/>
          </w:rPr>
          <w:fldChar w:fldCharType="begin"/>
        </w:r>
        <w:r w:rsidR="00C71F11">
          <w:rPr>
            <w:webHidden/>
          </w:rPr>
          <w:instrText xml:space="preserve"> PAGEREF _Toc488678360 \h </w:instrText>
        </w:r>
        <w:r w:rsidR="00C71F11">
          <w:rPr>
            <w:webHidden/>
          </w:rPr>
        </w:r>
        <w:r w:rsidR="00C71F11">
          <w:rPr>
            <w:webHidden/>
          </w:rPr>
          <w:fldChar w:fldCharType="separate"/>
        </w:r>
        <w:r w:rsidR="00C71F11">
          <w:rPr>
            <w:webHidden/>
          </w:rPr>
          <w:t>47</w:t>
        </w:r>
        <w:r w:rsidR="00C71F11">
          <w:rPr>
            <w:webHidden/>
          </w:rPr>
          <w:fldChar w:fldCharType="end"/>
        </w:r>
      </w:hyperlink>
    </w:p>
    <w:p w:rsidR="00C71F11" w:rsidRDefault="00D83C6E">
      <w:pPr>
        <w:pStyle w:val="Sumrio3"/>
        <w:tabs>
          <w:tab w:val="right" w:leader="dot" w:pos="9061"/>
        </w:tabs>
        <w:rPr>
          <w:rFonts w:asciiTheme="minorHAnsi" w:eastAsiaTheme="minorEastAsia" w:hAnsiTheme="minorHAnsi"/>
          <w:noProof/>
          <w:sz w:val="22"/>
          <w:lang w:eastAsia="pt-BR"/>
        </w:rPr>
      </w:pPr>
      <w:hyperlink w:anchor="_Toc488678361" w:history="1">
        <w:r w:rsidR="00C71F11" w:rsidRPr="00DB7490">
          <w:rPr>
            <w:rStyle w:val="Hyperlink"/>
            <w:noProof/>
          </w:rPr>
          <w:t>3.2.1 Preparação da planta</w:t>
        </w:r>
        <w:r w:rsidR="00C71F11">
          <w:rPr>
            <w:noProof/>
            <w:webHidden/>
          </w:rPr>
          <w:tab/>
        </w:r>
        <w:r w:rsidR="00C71F11">
          <w:rPr>
            <w:noProof/>
            <w:webHidden/>
          </w:rPr>
          <w:fldChar w:fldCharType="begin"/>
        </w:r>
        <w:r w:rsidR="00C71F11">
          <w:rPr>
            <w:noProof/>
            <w:webHidden/>
          </w:rPr>
          <w:instrText xml:space="preserve"> PAGEREF _Toc488678361 \h </w:instrText>
        </w:r>
        <w:r w:rsidR="00C71F11">
          <w:rPr>
            <w:noProof/>
            <w:webHidden/>
          </w:rPr>
        </w:r>
        <w:r w:rsidR="00C71F11">
          <w:rPr>
            <w:noProof/>
            <w:webHidden/>
          </w:rPr>
          <w:fldChar w:fldCharType="separate"/>
        </w:r>
        <w:r w:rsidR="00C71F11">
          <w:rPr>
            <w:noProof/>
            <w:webHidden/>
          </w:rPr>
          <w:t>47</w:t>
        </w:r>
        <w:r w:rsidR="00C71F11">
          <w:rPr>
            <w:noProof/>
            <w:webHidden/>
          </w:rPr>
          <w:fldChar w:fldCharType="end"/>
        </w:r>
      </w:hyperlink>
    </w:p>
    <w:p w:rsidR="00C71F11" w:rsidRDefault="00D83C6E">
      <w:pPr>
        <w:pStyle w:val="Sumrio3"/>
        <w:tabs>
          <w:tab w:val="right" w:leader="dot" w:pos="9061"/>
        </w:tabs>
        <w:rPr>
          <w:rFonts w:asciiTheme="minorHAnsi" w:eastAsiaTheme="minorEastAsia" w:hAnsiTheme="minorHAnsi"/>
          <w:noProof/>
          <w:sz w:val="22"/>
          <w:lang w:eastAsia="pt-BR"/>
        </w:rPr>
      </w:pPr>
      <w:hyperlink w:anchor="_Toc488678362" w:history="1">
        <w:r w:rsidR="00C71F11" w:rsidRPr="00DB7490">
          <w:rPr>
            <w:rStyle w:val="Hyperlink"/>
            <w:noProof/>
          </w:rPr>
          <w:t>3.2.2 Preparação da solução</w:t>
        </w:r>
        <w:r w:rsidR="00C71F11">
          <w:rPr>
            <w:noProof/>
            <w:webHidden/>
          </w:rPr>
          <w:tab/>
        </w:r>
        <w:r w:rsidR="00C71F11">
          <w:rPr>
            <w:noProof/>
            <w:webHidden/>
          </w:rPr>
          <w:fldChar w:fldCharType="begin"/>
        </w:r>
        <w:r w:rsidR="00C71F11">
          <w:rPr>
            <w:noProof/>
            <w:webHidden/>
          </w:rPr>
          <w:instrText xml:space="preserve"> PAGEREF _Toc488678362 \h </w:instrText>
        </w:r>
        <w:r w:rsidR="00C71F11">
          <w:rPr>
            <w:noProof/>
            <w:webHidden/>
          </w:rPr>
        </w:r>
        <w:r w:rsidR="00C71F11">
          <w:rPr>
            <w:noProof/>
            <w:webHidden/>
          </w:rPr>
          <w:fldChar w:fldCharType="separate"/>
        </w:r>
        <w:r w:rsidR="00C71F11">
          <w:rPr>
            <w:noProof/>
            <w:webHidden/>
          </w:rPr>
          <w:t>48</w:t>
        </w:r>
        <w:r w:rsidR="00C71F11">
          <w:rPr>
            <w:noProof/>
            <w:webHidden/>
          </w:rPr>
          <w:fldChar w:fldCharType="end"/>
        </w:r>
      </w:hyperlink>
    </w:p>
    <w:p w:rsidR="00C71F11" w:rsidRDefault="00D83C6E">
      <w:pPr>
        <w:pStyle w:val="Sumrio4"/>
        <w:rPr>
          <w:rFonts w:asciiTheme="minorHAnsi" w:eastAsiaTheme="minorEastAsia" w:hAnsiTheme="minorHAnsi"/>
          <w:i w:val="0"/>
          <w:sz w:val="22"/>
          <w:lang w:eastAsia="pt-BR"/>
        </w:rPr>
      </w:pPr>
      <w:hyperlink w:anchor="_Toc488678363" w:history="1">
        <w:r w:rsidR="00C71F11" w:rsidRPr="00DB7490">
          <w:rPr>
            <w:rStyle w:val="Hyperlink"/>
          </w:rPr>
          <w:t>3.2.2.1 Preparação de Blends</w:t>
        </w:r>
        <w:r w:rsidR="00C71F11">
          <w:rPr>
            <w:webHidden/>
          </w:rPr>
          <w:tab/>
        </w:r>
        <w:r w:rsidR="00C71F11">
          <w:rPr>
            <w:webHidden/>
          </w:rPr>
          <w:fldChar w:fldCharType="begin"/>
        </w:r>
        <w:r w:rsidR="00C71F11">
          <w:rPr>
            <w:webHidden/>
          </w:rPr>
          <w:instrText xml:space="preserve"> PAGEREF _Toc488678363 \h </w:instrText>
        </w:r>
        <w:r w:rsidR="00C71F11">
          <w:rPr>
            <w:webHidden/>
          </w:rPr>
        </w:r>
        <w:r w:rsidR="00C71F11">
          <w:rPr>
            <w:webHidden/>
          </w:rPr>
          <w:fldChar w:fldCharType="separate"/>
        </w:r>
        <w:r w:rsidR="00C71F11">
          <w:rPr>
            <w:webHidden/>
          </w:rPr>
          <w:t>48</w:t>
        </w:r>
        <w:r w:rsidR="00C71F11">
          <w:rPr>
            <w:webHidden/>
          </w:rPr>
          <w:fldChar w:fldCharType="end"/>
        </w:r>
      </w:hyperlink>
    </w:p>
    <w:p w:rsidR="00C71F11" w:rsidRDefault="00D83C6E">
      <w:pPr>
        <w:pStyle w:val="Sumrio3"/>
        <w:tabs>
          <w:tab w:val="right" w:leader="dot" w:pos="9061"/>
        </w:tabs>
        <w:rPr>
          <w:rFonts w:asciiTheme="minorHAnsi" w:eastAsiaTheme="minorEastAsia" w:hAnsiTheme="minorHAnsi"/>
          <w:noProof/>
          <w:sz w:val="22"/>
          <w:lang w:eastAsia="pt-BR"/>
        </w:rPr>
      </w:pPr>
      <w:hyperlink w:anchor="_Toc488678364" w:history="1">
        <w:r w:rsidR="00C71F11" w:rsidRPr="00DB7490">
          <w:rPr>
            <w:rStyle w:val="Hyperlink"/>
            <w:noProof/>
          </w:rPr>
          <w:t>3.2.3 Caracterização da solução</w:t>
        </w:r>
        <w:r w:rsidR="00C71F11">
          <w:rPr>
            <w:noProof/>
            <w:webHidden/>
          </w:rPr>
          <w:tab/>
        </w:r>
        <w:r w:rsidR="00C71F11">
          <w:rPr>
            <w:noProof/>
            <w:webHidden/>
          </w:rPr>
          <w:fldChar w:fldCharType="begin"/>
        </w:r>
        <w:r w:rsidR="00C71F11">
          <w:rPr>
            <w:noProof/>
            <w:webHidden/>
          </w:rPr>
          <w:instrText xml:space="preserve"> PAGEREF _Toc488678364 \h </w:instrText>
        </w:r>
        <w:r w:rsidR="00C71F11">
          <w:rPr>
            <w:noProof/>
            <w:webHidden/>
          </w:rPr>
        </w:r>
        <w:r w:rsidR="00C71F11">
          <w:rPr>
            <w:noProof/>
            <w:webHidden/>
          </w:rPr>
          <w:fldChar w:fldCharType="separate"/>
        </w:r>
        <w:r w:rsidR="00C71F11">
          <w:rPr>
            <w:noProof/>
            <w:webHidden/>
          </w:rPr>
          <w:t>49</w:t>
        </w:r>
        <w:r w:rsidR="00C71F11">
          <w:rPr>
            <w:noProof/>
            <w:webHidden/>
          </w:rPr>
          <w:fldChar w:fldCharType="end"/>
        </w:r>
      </w:hyperlink>
    </w:p>
    <w:p w:rsidR="00C71F11" w:rsidRDefault="00D83C6E">
      <w:pPr>
        <w:pStyle w:val="Sumrio3"/>
        <w:tabs>
          <w:tab w:val="right" w:leader="dot" w:pos="9061"/>
        </w:tabs>
        <w:rPr>
          <w:rFonts w:asciiTheme="minorHAnsi" w:eastAsiaTheme="minorEastAsia" w:hAnsiTheme="minorHAnsi"/>
          <w:noProof/>
          <w:sz w:val="22"/>
          <w:lang w:eastAsia="pt-BR"/>
        </w:rPr>
      </w:pPr>
      <w:hyperlink w:anchor="_Toc488678365" w:history="1">
        <w:r w:rsidR="00C71F11" w:rsidRPr="00DB7490">
          <w:rPr>
            <w:rStyle w:val="Hyperlink"/>
            <w:noProof/>
          </w:rPr>
          <w:t>3.2.4 Execução do experimento</w:t>
        </w:r>
        <w:r w:rsidR="00C71F11">
          <w:rPr>
            <w:noProof/>
            <w:webHidden/>
          </w:rPr>
          <w:tab/>
        </w:r>
        <w:r w:rsidR="00C71F11">
          <w:rPr>
            <w:noProof/>
            <w:webHidden/>
          </w:rPr>
          <w:fldChar w:fldCharType="begin"/>
        </w:r>
        <w:r w:rsidR="00C71F11">
          <w:rPr>
            <w:noProof/>
            <w:webHidden/>
          </w:rPr>
          <w:instrText xml:space="preserve"> PAGEREF _Toc488678365 \h </w:instrText>
        </w:r>
        <w:r w:rsidR="00C71F11">
          <w:rPr>
            <w:noProof/>
            <w:webHidden/>
          </w:rPr>
        </w:r>
        <w:r w:rsidR="00C71F11">
          <w:rPr>
            <w:noProof/>
            <w:webHidden/>
          </w:rPr>
          <w:fldChar w:fldCharType="separate"/>
        </w:r>
        <w:r w:rsidR="00C71F11">
          <w:rPr>
            <w:noProof/>
            <w:webHidden/>
          </w:rPr>
          <w:t>49</w:t>
        </w:r>
        <w:r w:rsidR="00C71F11">
          <w:rPr>
            <w:noProof/>
            <w:webHidden/>
          </w:rPr>
          <w:fldChar w:fldCharType="end"/>
        </w:r>
      </w:hyperlink>
    </w:p>
    <w:p w:rsidR="00C71F11" w:rsidRDefault="00D83C6E">
      <w:pPr>
        <w:pStyle w:val="Sumrio2"/>
        <w:rPr>
          <w:rFonts w:asciiTheme="minorHAnsi" w:eastAsiaTheme="minorEastAsia" w:hAnsiTheme="minorHAnsi"/>
          <w:b w:val="0"/>
          <w:sz w:val="22"/>
          <w:lang w:eastAsia="pt-BR"/>
        </w:rPr>
      </w:pPr>
      <w:hyperlink w:anchor="_Toc488678366" w:history="1">
        <w:r w:rsidR="00C71F11" w:rsidRPr="00DB7490">
          <w:rPr>
            <w:rStyle w:val="Hyperlink"/>
          </w:rPr>
          <w:t>3.3 Cálculo do fator de atrito e redução de arraste (DR%)</w:t>
        </w:r>
        <w:r w:rsidR="00C71F11">
          <w:rPr>
            <w:webHidden/>
          </w:rPr>
          <w:tab/>
        </w:r>
        <w:r w:rsidR="00C71F11">
          <w:rPr>
            <w:webHidden/>
          </w:rPr>
          <w:fldChar w:fldCharType="begin"/>
        </w:r>
        <w:r w:rsidR="00C71F11">
          <w:rPr>
            <w:webHidden/>
          </w:rPr>
          <w:instrText xml:space="preserve"> PAGEREF _Toc488678366 \h </w:instrText>
        </w:r>
        <w:r w:rsidR="00C71F11">
          <w:rPr>
            <w:webHidden/>
          </w:rPr>
        </w:r>
        <w:r w:rsidR="00C71F11">
          <w:rPr>
            <w:webHidden/>
          </w:rPr>
          <w:fldChar w:fldCharType="separate"/>
        </w:r>
        <w:r w:rsidR="00C71F11">
          <w:rPr>
            <w:webHidden/>
          </w:rPr>
          <w:t>49</w:t>
        </w:r>
        <w:r w:rsidR="00C71F11">
          <w:rPr>
            <w:webHidden/>
          </w:rPr>
          <w:fldChar w:fldCharType="end"/>
        </w:r>
      </w:hyperlink>
    </w:p>
    <w:p w:rsidR="00C71F11" w:rsidRDefault="00D83C6E">
      <w:pPr>
        <w:pStyle w:val="Sumrio2"/>
        <w:rPr>
          <w:rFonts w:asciiTheme="minorHAnsi" w:eastAsiaTheme="minorEastAsia" w:hAnsiTheme="minorHAnsi"/>
          <w:b w:val="0"/>
          <w:sz w:val="22"/>
          <w:lang w:eastAsia="pt-BR"/>
        </w:rPr>
      </w:pPr>
      <w:hyperlink w:anchor="_Toc488678367" w:history="1">
        <w:r w:rsidR="00C71F11" w:rsidRPr="00DB7490">
          <w:rPr>
            <w:rStyle w:val="Hyperlink"/>
          </w:rPr>
          <w:t>3.4 Cálculo da economia de energia</w:t>
        </w:r>
        <w:r w:rsidR="00C71F11">
          <w:rPr>
            <w:webHidden/>
          </w:rPr>
          <w:tab/>
        </w:r>
        <w:r w:rsidR="00C71F11">
          <w:rPr>
            <w:webHidden/>
          </w:rPr>
          <w:fldChar w:fldCharType="begin"/>
        </w:r>
        <w:r w:rsidR="00C71F11">
          <w:rPr>
            <w:webHidden/>
          </w:rPr>
          <w:instrText xml:space="preserve"> PAGEREF _Toc488678367 \h </w:instrText>
        </w:r>
        <w:r w:rsidR="00C71F11">
          <w:rPr>
            <w:webHidden/>
          </w:rPr>
        </w:r>
        <w:r w:rsidR="00C71F11">
          <w:rPr>
            <w:webHidden/>
          </w:rPr>
          <w:fldChar w:fldCharType="separate"/>
        </w:r>
        <w:r w:rsidR="00C71F11">
          <w:rPr>
            <w:webHidden/>
          </w:rPr>
          <w:t>50</w:t>
        </w:r>
        <w:r w:rsidR="00C71F11">
          <w:rPr>
            <w:webHidden/>
          </w:rPr>
          <w:fldChar w:fldCharType="end"/>
        </w:r>
      </w:hyperlink>
    </w:p>
    <w:p w:rsidR="00C71F11" w:rsidRDefault="00D83C6E">
      <w:pPr>
        <w:pStyle w:val="Sumrio2"/>
        <w:rPr>
          <w:rFonts w:asciiTheme="minorHAnsi" w:eastAsiaTheme="minorEastAsia" w:hAnsiTheme="minorHAnsi"/>
          <w:b w:val="0"/>
          <w:sz w:val="22"/>
          <w:lang w:eastAsia="pt-BR"/>
        </w:rPr>
      </w:pPr>
      <w:hyperlink w:anchor="_Toc488678368" w:history="1">
        <w:r w:rsidR="00C71F11" w:rsidRPr="00DB7490">
          <w:rPr>
            <w:rStyle w:val="Hyperlink"/>
          </w:rPr>
          <w:t>3.5 Análise das Incertezas</w:t>
        </w:r>
        <w:r w:rsidR="00C71F11">
          <w:rPr>
            <w:webHidden/>
          </w:rPr>
          <w:tab/>
        </w:r>
        <w:r w:rsidR="00C71F11">
          <w:rPr>
            <w:webHidden/>
          </w:rPr>
          <w:fldChar w:fldCharType="begin"/>
        </w:r>
        <w:r w:rsidR="00C71F11">
          <w:rPr>
            <w:webHidden/>
          </w:rPr>
          <w:instrText xml:space="preserve"> PAGEREF _Toc488678368 \h </w:instrText>
        </w:r>
        <w:r w:rsidR="00C71F11">
          <w:rPr>
            <w:webHidden/>
          </w:rPr>
        </w:r>
        <w:r w:rsidR="00C71F11">
          <w:rPr>
            <w:webHidden/>
          </w:rPr>
          <w:fldChar w:fldCharType="separate"/>
        </w:r>
        <w:r w:rsidR="00C71F11">
          <w:rPr>
            <w:webHidden/>
          </w:rPr>
          <w:t>51</w:t>
        </w:r>
        <w:r w:rsidR="00C71F11">
          <w:rPr>
            <w:webHidden/>
          </w:rPr>
          <w:fldChar w:fldCharType="end"/>
        </w:r>
      </w:hyperlink>
    </w:p>
    <w:p w:rsidR="00C71F11" w:rsidRDefault="00D83C6E">
      <w:pPr>
        <w:pStyle w:val="Sumrio1"/>
        <w:tabs>
          <w:tab w:val="left" w:pos="480"/>
        </w:tabs>
        <w:rPr>
          <w:rFonts w:asciiTheme="minorHAnsi" w:eastAsiaTheme="minorEastAsia" w:hAnsiTheme="minorHAnsi"/>
          <w:b w:val="0"/>
          <w:sz w:val="22"/>
          <w:lang w:eastAsia="pt-BR"/>
        </w:rPr>
      </w:pPr>
      <w:hyperlink w:anchor="_Toc488678369" w:history="1">
        <w:r w:rsidR="00C71F11" w:rsidRPr="00DB7490">
          <w:rPr>
            <w:rStyle w:val="Hyperlink"/>
          </w:rPr>
          <w:t>4.</w:t>
        </w:r>
        <w:r w:rsidR="00C71F11">
          <w:rPr>
            <w:rFonts w:asciiTheme="minorHAnsi" w:eastAsiaTheme="minorEastAsia" w:hAnsiTheme="minorHAnsi"/>
            <w:b w:val="0"/>
            <w:sz w:val="22"/>
            <w:lang w:eastAsia="pt-BR"/>
          </w:rPr>
          <w:tab/>
        </w:r>
        <w:r w:rsidR="00C71F11" w:rsidRPr="00DB7490">
          <w:rPr>
            <w:rStyle w:val="Hyperlink"/>
          </w:rPr>
          <w:t>RESULTADOS</w:t>
        </w:r>
        <w:r w:rsidR="00C71F11">
          <w:rPr>
            <w:webHidden/>
          </w:rPr>
          <w:tab/>
        </w:r>
        <w:r w:rsidR="00C71F11">
          <w:rPr>
            <w:webHidden/>
          </w:rPr>
          <w:fldChar w:fldCharType="begin"/>
        </w:r>
        <w:r w:rsidR="00C71F11">
          <w:rPr>
            <w:webHidden/>
          </w:rPr>
          <w:instrText xml:space="preserve"> PAGEREF _Toc488678369 \h </w:instrText>
        </w:r>
        <w:r w:rsidR="00C71F11">
          <w:rPr>
            <w:webHidden/>
          </w:rPr>
        </w:r>
        <w:r w:rsidR="00C71F11">
          <w:rPr>
            <w:webHidden/>
          </w:rPr>
          <w:fldChar w:fldCharType="separate"/>
        </w:r>
        <w:r w:rsidR="00C71F11">
          <w:rPr>
            <w:webHidden/>
          </w:rPr>
          <w:t>53</w:t>
        </w:r>
        <w:r w:rsidR="00C71F11">
          <w:rPr>
            <w:webHidden/>
          </w:rPr>
          <w:fldChar w:fldCharType="end"/>
        </w:r>
      </w:hyperlink>
    </w:p>
    <w:p w:rsidR="00C71F11" w:rsidRDefault="00D83C6E">
      <w:pPr>
        <w:pStyle w:val="Sumrio1"/>
        <w:rPr>
          <w:rFonts w:asciiTheme="minorHAnsi" w:eastAsiaTheme="minorEastAsia" w:hAnsiTheme="minorHAnsi"/>
          <w:b w:val="0"/>
          <w:sz w:val="22"/>
          <w:lang w:eastAsia="pt-BR"/>
        </w:rPr>
      </w:pPr>
      <w:hyperlink w:anchor="_Toc488678370" w:history="1">
        <w:r w:rsidR="00C71F11" w:rsidRPr="00DB7490">
          <w:rPr>
            <w:rStyle w:val="Hyperlink"/>
          </w:rPr>
          <w:t>4.1 Validação da Bancada</w:t>
        </w:r>
        <w:r w:rsidR="00C71F11">
          <w:rPr>
            <w:webHidden/>
          </w:rPr>
          <w:tab/>
        </w:r>
        <w:r w:rsidR="00C71F11">
          <w:rPr>
            <w:webHidden/>
          </w:rPr>
          <w:fldChar w:fldCharType="begin"/>
        </w:r>
        <w:r w:rsidR="00C71F11">
          <w:rPr>
            <w:webHidden/>
          </w:rPr>
          <w:instrText xml:space="preserve"> PAGEREF _Toc488678370 \h </w:instrText>
        </w:r>
        <w:r w:rsidR="00C71F11">
          <w:rPr>
            <w:webHidden/>
          </w:rPr>
        </w:r>
        <w:r w:rsidR="00C71F11">
          <w:rPr>
            <w:webHidden/>
          </w:rPr>
          <w:fldChar w:fldCharType="separate"/>
        </w:r>
        <w:r w:rsidR="00C71F11">
          <w:rPr>
            <w:webHidden/>
          </w:rPr>
          <w:t>54</w:t>
        </w:r>
        <w:r w:rsidR="00C71F11">
          <w:rPr>
            <w:webHidden/>
          </w:rPr>
          <w:fldChar w:fldCharType="end"/>
        </w:r>
      </w:hyperlink>
    </w:p>
    <w:p w:rsidR="00C71F11" w:rsidRDefault="00D83C6E">
      <w:pPr>
        <w:pStyle w:val="Sumrio1"/>
        <w:rPr>
          <w:rFonts w:asciiTheme="minorHAnsi" w:eastAsiaTheme="minorEastAsia" w:hAnsiTheme="minorHAnsi"/>
          <w:b w:val="0"/>
          <w:sz w:val="22"/>
          <w:lang w:eastAsia="pt-BR"/>
        </w:rPr>
      </w:pPr>
      <w:hyperlink w:anchor="_Toc488678371" w:history="1">
        <w:r w:rsidR="00C71F11" w:rsidRPr="00DB7490">
          <w:rPr>
            <w:rStyle w:val="Hyperlink"/>
          </w:rPr>
          <w:t>4.2 Ensaios com Goma Guar</w:t>
        </w:r>
        <w:r w:rsidR="00C71F11">
          <w:rPr>
            <w:webHidden/>
          </w:rPr>
          <w:tab/>
        </w:r>
        <w:r w:rsidR="00C71F11">
          <w:rPr>
            <w:webHidden/>
          </w:rPr>
          <w:fldChar w:fldCharType="begin"/>
        </w:r>
        <w:r w:rsidR="00C71F11">
          <w:rPr>
            <w:webHidden/>
          </w:rPr>
          <w:instrText xml:space="preserve"> PAGEREF _Toc488678371 \h </w:instrText>
        </w:r>
        <w:r w:rsidR="00C71F11">
          <w:rPr>
            <w:webHidden/>
          </w:rPr>
        </w:r>
        <w:r w:rsidR="00C71F11">
          <w:rPr>
            <w:webHidden/>
          </w:rPr>
          <w:fldChar w:fldCharType="separate"/>
        </w:r>
        <w:r w:rsidR="00C71F11">
          <w:rPr>
            <w:webHidden/>
          </w:rPr>
          <w:t>55</w:t>
        </w:r>
        <w:r w:rsidR="00C71F11">
          <w:rPr>
            <w:webHidden/>
          </w:rPr>
          <w:fldChar w:fldCharType="end"/>
        </w:r>
      </w:hyperlink>
    </w:p>
    <w:p w:rsidR="00C71F11" w:rsidRDefault="00D83C6E">
      <w:pPr>
        <w:pStyle w:val="Sumrio3"/>
        <w:tabs>
          <w:tab w:val="right" w:leader="dot" w:pos="9061"/>
        </w:tabs>
        <w:rPr>
          <w:rFonts w:asciiTheme="minorHAnsi" w:eastAsiaTheme="minorEastAsia" w:hAnsiTheme="minorHAnsi"/>
          <w:noProof/>
          <w:sz w:val="22"/>
          <w:lang w:eastAsia="pt-BR"/>
        </w:rPr>
      </w:pPr>
      <w:hyperlink w:anchor="_Toc488678372" w:history="1">
        <w:r w:rsidR="00C71F11" w:rsidRPr="00DB7490">
          <w:rPr>
            <w:rStyle w:val="Hyperlink"/>
            <w:noProof/>
          </w:rPr>
          <w:t>4.2.1 Efeito das soluções no fator de atrito e DR%</w:t>
        </w:r>
        <w:r w:rsidR="00C71F11">
          <w:rPr>
            <w:noProof/>
            <w:webHidden/>
          </w:rPr>
          <w:tab/>
        </w:r>
        <w:r w:rsidR="00C71F11">
          <w:rPr>
            <w:noProof/>
            <w:webHidden/>
          </w:rPr>
          <w:fldChar w:fldCharType="begin"/>
        </w:r>
        <w:r w:rsidR="00C71F11">
          <w:rPr>
            <w:noProof/>
            <w:webHidden/>
          </w:rPr>
          <w:instrText xml:space="preserve"> PAGEREF _Toc488678372 \h </w:instrText>
        </w:r>
        <w:r w:rsidR="00C71F11">
          <w:rPr>
            <w:noProof/>
            <w:webHidden/>
          </w:rPr>
        </w:r>
        <w:r w:rsidR="00C71F11">
          <w:rPr>
            <w:noProof/>
            <w:webHidden/>
          </w:rPr>
          <w:fldChar w:fldCharType="separate"/>
        </w:r>
        <w:r w:rsidR="00C71F11">
          <w:rPr>
            <w:noProof/>
            <w:webHidden/>
          </w:rPr>
          <w:t>55</w:t>
        </w:r>
        <w:r w:rsidR="00C71F11">
          <w:rPr>
            <w:noProof/>
            <w:webHidden/>
          </w:rPr>
          <w:fldChar w:fldCharType="end"/>
        </w:r>
      </w:hyperlink>
    </w:p>
    <w:p w:rsidR="00C71F11" w:rsidRDefault="00D83C6E">
      <w:pPr>
        <w:pStyle w:val="Sumrio3"/>
        <w:tabs>
          <w:tab w:val="right" w:leader="dot" w:pos="9061"/>
        </w:tabs>
        <w:rPr>
          <w:rFonts w:asciiTheme="minorHAnsi" w:eastAsiaTheme="minorEastAsia" w:hAnsiTheme="minorHAnsi"/>
          <w:noProof/>
          <w:sz w:val="22"/>
          <w:lang w:eastAsia="pt-BR"/>
        </w:rPr>
      </w:pPr>
      <w:hyperlink w:anchor="_Toc488678373" w:history="1">
        <w:r w:rsidR="00C71F11" w:rsidRPr="00DB7490">
          <w:rPr>
            <w:rStyle w:val="Hyperlink"/>
            <w:noProof/>
          </w:rPr>
          <w:t>4.2.2 Efeito das soluções na potência ativa consumida</w:t>
        </w:r>
        <w:r w:rsidR="00C71F11">
          <w:rPr>
            <w:noProof/>
            <w:webHidden/>
          </w:rPr>
          <w:tab/>
        </w:r>
        <w:r w:rsidR="00C71F11">
          <w:rPr>
            <w:noProof/>
            <w:webHidden/>
          </w:rPr>
          <w:fldChar w:fldCharType="begin"/>
        </w:r>
        <w:r w:rsidR="00C71F11">
          <w:rPr>
            <w:noProof/>
            <w:webHidden/>
          </w:rPr>
          <w:instrText xml:space="preserve"> PAGEREF _Toc488678373 \h </w:instrText>
        </w:r>
        <w:r w:rsidR="00C71F11">
          <w:rPr>
            <w:noProof/>
            <w:webHidden/>
          </w:rPr>
        </w:r>
        <w:r w:rsidR="00C71F11">
          <w:rPr>
            <w:noProof/>
            <w:webHidden/>
          </w:rPr>
          <w:fldChar w:fldCharType="separate"/>
        </w:r>
        <w:r w:rsidR="00C71F11">
          <w:rPr>
            <w:noProof/>
            <w:webHidden/>
          </w:rPr>
          <w:t>58</w:t>
        </w:r>
        <w:r w:rsidR="00C71F11">
          <w:rPr>
            <w:noProof/>
            <w:webHidden/>
          </w:rPr>
          <w:fldChar w:fldCharType="end"/>
        </w:r>
      </w:hyperlink>
    </w:p>
    <w:p w:rsidR="00C71F11" w:rsidRDefault="00D83C6E">
      <w:pPr>
        <w:pStyle w:val="Sumrio2"/>
        <w:rPr>
          <w:rFonts w:asciiTheme="minorHAnsi" w:eastAsiaTheme="minorEastAsia" w:hAnsiTheme="minorHAnsi"/>
          <w:b w:val="0"/>
          <w:sz w:val="22"/>
          <w:lang w:eastAsia="pt-BR"/>
        </w:rPr>
      </w:pPr>
      <w:hyperlink w:anchor="_Toc488678374" w:history="1">
        <w:r w:rsidR="00C71F11" w:rsidRPr="00DB7490">
          <w:rPr>
            <w:rStyle w:val="Hyperlink"/>
          </w:rPr>
          <w:t>4.3 Ensaios com PEO</w:t>
        </w:r>
        <w:r w:rsidR="00C71F11">
          <w:rPr>
            <w:webHidden/>
          </w:rPr>
          <w:tab/>
        </w:r>
        <w:r w:rsidR="00C71F11">
          <w:rPr>
            <w:webHidden/>
          </w:rPr>
          <w:fldChar w:fldCharType="begin"/>
        </w:r>
        <w:r w:rsidR="00C71F11">
          <w:rPr>
            <w:webHidden/>
          </w:rPr>
          <w:instrText xml:space="preserve"> PAGEREF _Toc488678374 \h </w:instrText>
        </w:r>
        <w:r w:rsidR="00C71F11">
          <w:rPr>
            <w:webHidden/>
          </w:rPr>
        </w:r>
        <w:r w:rsidR="00C71F11">
          <w:rPr>
            <w:webHidden/>
          </w:rPr>
          <w:fldChar w:fldCharType="separate"/>
        </w:r>
        <w:r w:rsidR="00C71F11">
          <w:rPr>
            <w:webHidden/>
          </w:rPr>
          <w:t>62</w:t>
        </w:r>
        <w:r w:rsidR="00C71F11">
          <w:rPr>
            <w:webHidden/>
          </w:rPr>
          <w:fldChar w:fldCharType="end"/>
        </w:r>
      </w:hyperlink>
    </w:p>
    <w:p w:rsidR="00C71F11" w:rsidRDefault="00D83C6E">
      <w:pPr>
        <w:pStyle w:val="Sumrio3"/>
        <w:tabs>
          <w:tab w:val="right" w:leader="dot" w:pos="9061"/>
        </w:tabs>
        <w:rPr>
          <w:rFonts w:asciiTheme="minorHAnsi" w:eastAsiaTheme="minorEastAsia" w:hAnsiTheme="minorHAnsi"/>
          <w:noProof/>
          <w:sz w:val="22"/>
          <w:lang w:eastAsia="pt-BR"/>
        </w:rPr>
      </w:pPr>
      <w:hyperlink w:anchor="_Toc488678375" w:history="1">
        <w:r w:rsidR="00C71F11" w:rsidRPr="00DB7490">
          <w:rPr>
            <w:rStyle w:val="Hyperlink"/>
            <w:noProof/>
          </w:rPr>
          <w:t>4.3.1 Efeito das soluções no fator de atrito e DR%</w:t>
        </w:r>
        <w:r w:rsidR="00C71F11">
          <w:rPr>
            <w:noProof/>
            <w:webHidden/>
          </w:rPr>
          <w:tab/>
        </w:r>
        <w:r w:rsidR="00C71F11">
          <w:rPr>
            <w:noProof/>
            <w:webHidden/>
          </w:rPr>
          <w:fldChar w:fldCharType="begin"/>
        </w:r>
        <w:r w:rsidR="00C71F11">
          <w:rPr>
            <w:noProof/>
            <w:webHidden/>
          </w:rPr>
          <w:instrText xml:space="preserve"> PAGEREF _Toc488678375 \h </w:instrText>
        </w:r>
        <w:r w:rsidR="00C71F11">
          <w:rPr>
            <w:noProof/>
            <w:webHidden/>
          </w:rPr>
        </w:r>
        <w:r w:rsidR="00C71F11">
          <w:rPr>
            <w:noProof/>
            <w:webHidden/>
          </w:rPr>
          <w:fldChar w:fldCharType="separate"/>
        </w:r>
        <w:r w:rsidR="00C71F11">
          <w:rPr>
            <w:noProof/>
            <w:webHidden/>
          </w:rPr>
          <w:t>62</w:t>
        </w:r>
        <w:r w:rsidR="00C71F11">
          <w:rPr>
            <w:noProof/>
            <w:webHidden/>
          </w:rPr>
          <w:fldChar w:fldCharType="end"/>
        </w:r>
      </w:hyperlink>
    </w:p>
    <w:p w:rsidR="00C71F11" w:rsidRDefault="00D83C6E">
      <w:pPr>
        <w:pStyle w:val="Sumrio3"/>
        <w:tabs>
          <w:tab w:val="right" w:leader="dot" w:pos="9061"/>
        </w:tabs>
        <w:rPr>
          <w:rFonts w:asciiTheme="minorHAnsi" w:eastAsiaTheme="minorEastAsia" w:hAnsiTheme="minorHAnsi"/>
          <w:noProof/>
          <w:sz w:val="22"/>
          <w:lang w:eastAsia="pt-BR"/>
        </w:rPr>
      </w:pPr>
      <w:hyperlink w:anchor="_Toc488678376" w:history="1">
        <w:r w:rsidR="00C71F11" w:rsidRPr="00DB7490">
          <w:rPr>
            <w:rStyle w:val="Hyperlink"/>
            <w:noProof/>
          </w:rPr>
          <w:t>4.3.2 Efeito das soluções na potência ativa consumida</w:t>
        </w:r>
        <w:r w:rsidR="00C71F11">
          <w:rPr>
            <w:noProof/>
            <w:webHidden/>
          </w:rPr>
          <w:tab/>
        </w:r>
        <w:r w:rsidR="00C71F11">
          <w:rPr>
            <w:noProof/>
            <w:webHidden/>
          </w:rPr>
          <w:fldChar w:fldCharType="begin"/>
        </w:r>
        <w:r w:rsidR="00C71F11">
          <w:rPr>
            <w:noProof/>
            <w:webHidden/>
          </w:rPr>
          <w:instrText xml:space="preserve"> PAGEREF _Toc488678376 \h </w:instrText>
        </w:r>
        <w:r w:rsidR="00C71F11">
          <w:rPr>
            <w:noProof/>
            <w:webHidden/>
          </w:rPr>
        </w:r>
        <w:r w:rsidR="00C71F11">
          <w:rPr>
            <w:noProof/>
            <w:webHidden/>
          </w:rPr>
          <w:fldChar w:fldCharType="separate"/>
        </w:r>
        <w:r w:rsidR="00C71F11">
          <w:rPr>
            <w:noProof/>
            <w:webHidden/>
          </w:rPr>
          <w:t>66</w:t>
        </w:r>
        <w:r w:rsidR="00C71F11">
          <w:rPr>
            <w:noProof/>
            <w:webHidden/>
          </w:rPr>
          <w:fldChar w:fldCharType="end"/>
        </w:r>
      </w:hyperlink>
    </w:p>
    <w:p w:rsidR="00C71F11" w:rsidRDefault="00D83C6E">
      <w:pPr>
        <w:pStyle w:val="Sumrio2"/>
        <w:rPr>
          <w:rFonts w:asciiTheme="minorHAnsi" w:eastAsiaTheme="minorEastAsia" w:hAnsiTheme="minorHAnsi"/>
          <w:b w:val="0"/>
          <w:sz w:val="22"/>
          <w:lang w:eastAsia="pt-BR"/>
        </w:rPr>
      </w:pPr>
      <w:hyperlink w:anchor="_Toc488678377" w:history="1">
        <w:r w:rsidR="00C71F11" w:rsidRPr="00DB7490">
          <w:rPr>
            <w:rStyle w:val="Hyperlink"/>
          </w:rPr>
          <w:t xml:space="preserve">4.4 Ensaios com </w:t>
        </w:r>
        <w:r w:rsidR="00C71F11" w:rsidRPr="00DB7490">
          <w:rPr>
            <w:rStyle w:val="Hyperlink"/>
            <w:i/>
          </w:rPr>
          <w:t>Blends</w:t>
        </w:r>
        <w:r w:rsidR="00C71F11">
          <w:rPr>
            <w:webHidden/>
          </w:rPr>
          <w:tab/>
        </w:r>
        <w:r w:rsidR="00C71F11">
          <w:rPr>
            <w:webHidden/>
          </w:rPr>
          <w:fldChar w:fldCharType="begin"/>
        </w:r>
        <w:r w:rsidR="00C71F11">
          <w:rPr>
            <w:webHidden/>
          </w:rPr>
          <w:instrText xml:space="preserve"> PAGEREF _Toc488678377 \h </w:instrText>
        </w:r>
        <w:r w:rsidR="00C71F11">
          <w:rPr>
            <w:webHidden/>
          </w:rPr>
        </w:r>
        <w:r w:rsidR="00C71F11">
          <w:rPr>
            <w:webHidden/>
          </w:rPr>
          <w:fldChar w:fldCharType="separate"/>
        </w:r>
        <w:r w:rsidR="00C71F11">
          <w:rPr>
            <w:webHidden/>
          </w:rPr>
          <w:t>69</w:t>
        </w:r>
        <w:r w:rsidR="00C71F11">
          <w:rPr>
            <w:webHidden/>
          </w:rPr>
          <w:fldChar w:fldCharType="end"/>
        </w:r>
      </w:hyperlink>
    </w:p>
    <w:p w:rsidR="00C71F11" w:rsidRDefault="00D83C6E">
      <w:pPr>
        <w:pStyle w:val="Sumrio3"/>
        <w:tabs>
          <w:tab w:val="right" w:leader="dot" w:pos="9061"/>
        </w:tabs>
        <w:rPr>
          <w:rFonts w:asciiTheme="minorHAnsi" w:eastAsiaTheme="minorEastAsia" w:hAnsiTheme="minorHAnsi"/>
          <w:noProof/>
          <w:sz w:val="22"/>
          <w:lang w:eastAsia="pt-BR"/>
        </w:rPr>
      </w:pPr>
      <w:hyperlink w:anchor="_Toc488678378" w:history="1">
        <w:r w:rsidR="00C71F11" w:rsidRPr="00DB7490">
          <w:rPr>
            <w:rStyle w:val="Hyperlink"/>
            <w:noProof/>
          </w:rPr>
          <w:t>4.4.1 Efeito das soluções no fator de atrito e DR%</w:t>
        </w:r>
        <w:r w:rsidR="00C71F11">
          <w:rPr>
            <w:noProof/>
            <w:webHidden/>
          </w:rPr>
          <w:tab/>
        </w:r>
        <w:r w:rsidR="00C71F11">
          <w:rPr>
            <w:noProof/>
            <w:webHidden/>
          </w:rPr>
          <w:fldChar w:fldCharType="begin"/>
        </w:r>
        <w:r w:rsidR="00C71F11">
          <w:rPr>
            <w:noProof/>
            <w:webHidden/>
          </w:rPr>
          <w:instrText xml:space="preserve"> PAGEREF _Toc488678378 \h </w:instrText>
        </w:r>
        <w:r w:rsidR="00C71F11">
          <w:rPr>
            <w:noProof/>
            <w:webHidden/>
          </w:rPr>
        </w:r>
        <w:r w:rsidR="00C71F11">
          <w:rPr>
            <w:noProof/>
            <w:webHidden/>
          </w:rPr>
          <w:fldChar w:fldCharType="separate"/>
        </w:r>
        <w:r w:rsidR="00C71F11">
          <w:rPr>
            <w:noProof/>
            <w:webHidden/>
          </w:rPr>
          <w:t>69</w:t>
        </w:r>
        <w:r w:rsidR="00C71F11">
          <w:rPr>
            <w:noProof/>
            <w:webHidden/>
          </w:rPr>
          <w:fldChar w:fldCharType="end"/>
        </w:r>
      </w:hyperlink>
    </w:p>
    <w:p w:rsidR="00C71F11" w:rsidRDefault="00D83C6E">
      <w:pPr>
        <w:pStyle w:val="Sumrio3"/>
        <w:tabs>
          <w:tab w:val="right" w:leader="dot" w:pos="9061"/>
        </w:tabs>
        <w:rPr>
          <w:rFonts w:asciiTheme="minorHAnsi" w:eastAsiaTheme="minorEastAsia" w:hAnsiTheme="minorHAnsi"/>
          <w:noProof/>
          <w:sz w:val="22"/>
          <w:lang w:eastAsia="pt-BR"/>
        </w:rPr>
      </w:pPr>
      <w:hyperlink w:anchor="_Toc488678379" w:history="1">
        <w:r w:rsidR="00C71F11" w:rsidRPr="00DB7490">
          <w:rPr>
            <w:rStyle w:val="Hyperlink"/>
            <w:noProof/>
          </w:rPr>
          <w:t>4.4.2 Efeito das soluções na potência ativa consumida</w:t>
        </w:r>
        <w:r w:rsidR="00C71F11">
          <w:rPr>
            <w:noProof/>
            <w:webHidden/>
          </w:rPr>
          <w:tab/>
        </w:r>
        <w:r w:rsidR="00C71F11">
          <w:rPr>
            <w:noProof/>
            <w:webHidden/>
          </w:rPr>
          <w:fldChar w:fldCharType="begin"/>
        </w:r>
        <w:r w:rsidR="00C71F11">
          <w:rPr>
            <w:noProof/>
            <w:webHidden/>
          </w:rPr>
          <w:instrText xml:space="preserve"> PAGEREF _Toc488678379 \h </w:instrText>
        </w:r>
        <w:r w:rsidR="00C71F11">
          <w:rPr>
            <w:noProof/>
            <w:webHidden/>
          </w:rPr>
        </w:r>
        <w:r w:rsidR="00C71F11">
          <w:rPr>
            <w:noProof/>
            <w:webHidden/>
          </w:rPr>
          <w:fldChar w:fldCharType="separate"/>
        </w:r>
        <w:r w:rsidR="00C71F11">
          <w:rPr>
            <w:noProof/>
            <w:webHidden/>
          </w:rPr>
          <w:t>72</w:t>
        </w:r>
        <w:r w:rsidR="00C71F11">
          <w:rPr>
            <w:noProof/>
            <w:webHidden/>
          </w:rPr>
          <w:fldChar w:fldCharType="end"/>
        </w:r>
      </w:hyperlink>
    </w:p>
    <w:p w:rsidR="00C71F11" w:rsidRDefault="00D83C6E">
      <w:pPr>
        <w:pStyle w:val="Sumrio1"/>
        <w:rPr>
          <w:rFonts w:asciiTheme="minorHAnsi" w:eastAsiaTheme="minorEastAsia" w:hAnsiTheme="minorHAnsi"/>
          <w:b w:val="0"/>
          <w:sz w:val="22"/>
          <w:lang w:eastAsia="pt-BR"/>
        </w:rPr>
      </w:pPr>
      <w:hyperlink w:anchor="_Toc488678380" w:history="1">
        <w:r w:rsidR="00C71F11" w:rsidRPr="00DB7490">
          <w:rPr>
            <w:rStyle w:val="Hyperlink"/>
          </w:rPr>
          <w:t>4.5 Economia de Energia</w:t>
        </w:r>
        <w:r w:rsidR="00C71F11">
          <w:rPr>
            <w:webHidden/>
          </w:rPr>
          <w:tab/>
        </w:r>
        <w:r w:rsidR="00C71F11">
          <w:rPr>
            <w:webHidden/>
          </w:rPr>
          <w:fldChar w:fldCharType="begin"/>
        </w:r>
        <w:r w:rsidR="00C71F11">
          <w:rPr>
            <w:webHidden/>
          </w:rPr>
          <w:instrText xml:space="preserve"> PAGEREF _Toc488678380 \h </w:instrText>
        </w:r>
        <w:r w:rsidR="00C71F11">
          <w:rPr>
            <w:webHidden/>
          </w:rPr>
        </w:r>
        <w:r w:rsidR="00C71F11">
          <w:rPr>
            <w:webHidden/>
          </w:rPr>
          <w:fldChar w:fldCharType="separate"/>
        </w:r>
        <w:r w:rsidR="00C71F11">
          <w:rPr>
            <w:webHidden/>
          </w:rPr>
          <w:t>73</w:t>
        </w:r>
        <w:r w:rsidR="00C71F11">
          <w:rPr>
            <w:webHidden/>
          </w:rPr>
          <w:fldChar w:fldCharType="end"/>
        </w:r>
      </w:hyperlink>
    </w:p>
    <w:p w:rsidR="00C71F11" w:rsidRDefault="00D83C6E">
      <w:pPr>
        <w:pStyle w:val="Sumrio1"/>
        <w:tabs>
          <w:tab w:val="left" w:pos="480"/>
        </w:tabs>
        <w:rPr>
          <w:rFonts w:asciiTheme="minorHAnsi" w:eastAsiaTheme="minorEastAsia" w:hAnsiTheme="minorHAnsi"/>
          <w:b w:val="0"/>
          <w:sz w:val="22"/>
          <w:lang w:eastAsia="pt-BR"/>
        </w:rPr>
      </w:pPr>
      <w:hyperlink w:anchor="_Toc488678381" w:history="1">
        <w:r w:rsidR="00C71F11" w:rsidRPr="00DB7490">
          <w:rPr>
            <w:rStyle w:val="Hyperlink"/>
          </w:rPr>
          <w:t>5.</w:t>
        </w:r>
        <w:r w:rsidR="00C71F11">
          <w:rPr>
            <w:rFonts w:asciiTheme="minorHAnsi" w:eastAsiaTheme="minorEastAsia" w:hAnsiTheme="minorHAnsi"/>
            <w:b w:val="0"/>
            <w:sz w:val="22"/>
            <w:lang w:eastAsia="pt-BR"/>
          </w:rPr>
          <w:tab/>
        </w:r>
        <w:r w:rsidR="00C71F11" w:rsidRPr="00DB7490">
          <w:rPr>
            <w:rStyle w:val="Hyperlink"/>
          </w:rPr>
          <w:t>ANÁLISE DE VIABILIDADE ECONÔMICA</w:t>
        </w:r>
        <w:r w:rsidR="00C71F11">
          <w:rPr>
            <w:webHidden/>
          </w:rPr>
          <w:tab/>
        </w:r>
        <w:r w:rsidR="00C71F11">
          <w:rPr>
            <w:webHidden/>
          </w:rPr>
          <w:fldChar w:fldCharType="begin"/>
        </w:r>
        <w:r w:rsidR="00C71F11">
          <w:rPr>
            <w:webHidden/>
          </w:rPr>
          <w:instrText xml:space="preserve"> PAGEREF _Toc488678381 \h </w:instrText>
        </w:r>
        <w:r w:rsidR="00C71F11">
          <w:rPr>
            <w:webHidden/>
          </w:rPr>
        </w:r>
        <w:r w:rsidR="00C71F11">
          <w:rPr>
            <w:webHidden/>
          </w:rPr>
          <w:fldChar w:fldCharType="separate"/>
        </w:r>
        <w:r w:rsidR="00C71F11">
          <w:rPr>
            <w:webHidden/>
          </w:rPr>
          <w:t>76</w:t>
        </w:r>
        <w:r w:rsidR="00C71F11">
          <w:rPr>
            <w:webHidden/>
          </w:rPr>
          <w:fldChar w:fldCharType="end"/>
        </w:r>
      </w:hyperlink>
    </w:p>
    <w:p w:rsidR="00C71F11" w:rsidRDefault="00D83C6E">
      <w:pPr>
        <w:pStyle w:val="Sumrio2"/>
        <w:rPr>
          <w:rFonts w:asciiTheme="minorHAnsi" w:eastAsiaTheme="minorEastAsia" w:hAnsiTheme="minorHAnsi"/>
          <w:b w:val="0"/>
          <w:sz w:val="22"/>
          <w:lang w:eastAsia="pt-BR"/>
        </w:rPr>
      </w:pPr>
      <w:hyperlink w:anchor="_Toc488678382" w:history="1">
        <w:r w:rsidR="00C71F11" w:rsidRPr="00DB7490">
          <w:rPr>
            <w:rStyle w:val="Hyperlink"/>
          </w:rPr>
          <w:t>5.1 Estimativa de receita</w:t>
        </w:r>
        <w:r w:rsidR="00C71F11">
          <w:rPr>
            <w:webHidden/>
          </w:rPr>
          <w:tab/>
        </w:r>
        <w:r w:rsidR="00C71F11">
          <w:rPr>
            <w:webHidden/>
          </w:rPr>
          <w:fldChar w:fldCharType="begin"/>
        </w:r>
        <w:r w:rsidR="00C71F11">
          <w:rPr>
            <w:webHidden/>
          </w:rPr>
          <w:instrText xml:space="preserve"> PAGEREF _Toc488678382 \h </w:instrText>
        </w:r>
        <w:r w:rsidR="00C71F11">
          <w:rPr>
            <w:webHidden/>
          </w:rPr>
        </w:r>
        <w:r w:rsidR="00C71F11">
          <w:rPr>
            <w:webHidden/>
          </w:rPr>
          <w:fldChar w:fldCharType="separate"/>
        </w:r>
        <w:r w:rsidR="00C71F11">
          <w:rPr>
            <w:webHidden/>
          </w:rPr>
          <w:t>76</w:t>
        </w:r>
        <w:r w:rsidR="00C71F11">
          <w:rPr>
            <w:webHidden/>
          </w:rPr>
          <w:fldChar w:fldCharType="end"/>
        </w:r>
      </w:hyperlink>
    </w:p>
    <w:p w:rsidR="00C71F11" w:rsidRDefault="00D83C6E">
      <w:pPr>
        <w:pStyle w:val="Sumrio2"/>
        <w:rPr>
          <w:rFonts w:asciiTheme="minorHAnsi" w:eastAsiaTheme="minorEastAsia" w:hAnsiTheme="minorHAnsi"/>
          <w:b w:val="0"/>
          <w:sz w:val="22"/>
          <w:lang w:eastAsia="pt-BR"/>
        </w:rPr>
      </w:pPr>
      <w:hyperlink w:anchor="_Toc488678383" w:history="1">
        <w:r w:rsidR="00C71F11" w:rsidRPr="00DB7490">
          <w:rPr>
            <w:rStyle w:val="Hyperlink"/>
          </w:rPr>
          <w:t>5.2 Estimativa de custos</w:t>
        </w:r>
        <w:r w:rsidR="00C71F11">
          <w:rPr>
            <w:webHidden/>
          </w:rPr>
          <w:tab/>
        </w:r>
        <w:r w:rsidR="00C71F11">
          <w:rPr>
            <w:webHidden/>
          </w:rPr>
          <w:fldChar w:fldCharType="begin"/>
        </w:r>
        <w:r w:rsidR="00C71F11">
          <w:rPr>
            <w:webHidden/>
          </w:rPr>
          <w:instrText xml:space="preserve"> PAGEREF _Toc488678383 \h </w:instrText>
        </w:r>
        <w:r w:rsidR="00C71F11">
          <w:rPr>
            <w:webHidden/>
          </w:rPr>
        </w:r>
        <w:r w:rsidR="00C71F11">
          <w:rPr>
            <w:webHidden/>
          </w:rPr>
          <w:fldChar w:fldCharType="separate"/>
        </w:r>
        <w:r w:rsidR="00C71F11">
          <w:rPr>
            <w:webHidden/>
          </w:rPr>
          <w:t>78</w:t>
        </w:r>
        <w:r w:rsidR="00C71F11">
          <w:rPr>
            <w:webHidden/>
          </w:rPr>
          <w:fldChar w:fldCharType="end"/>
        </w:r>
      </w:hyperlink>
    </w:p>
    <w:p w:rsidR="00C71F11" w:rsidRDefault="00D83C6E">
      <w:pPr>
        <w:pStyle w:val="Sumrio2"/>
        <w:rPr>
          <w:rFonts w:asciiTheme="minorHAnsi" w:eastAsiaTheme="minorEastAsia" w:hAnsiTheme="minorHAnsi"/>
          <w:b w:val="0"/>
          <w:sz w:val="22"/>
          <w:lang w:eastAsia="pt-BR"/>
        </w:rPr>
      </w:pPr>
      <w:hyperlink w:anchor="_Toc488678384" w:history="1">
        <w:r w:rsidR="00C71F11" w:rsidRPr="00DB7490">
          <w:rPr>
            <w:rStyle w:val="Hyperlink"/>
          </w:rPr>
          <w:t>5.3 Estimativa de taxas</w:t>
        </w:r>
        <w:r w:rsidR="00C71F11">
          <w:rPr>
            <w:webHidden/>
          </w:rPr>
          <w:tab/>
        </w:r>
        <w:r w:rsidR="00C71F11">
          <w:rPr>
            <w:webHidden/>
          </w:rPr>
          <w:fldChar w:fldCharType="begin"/>
        </w:r>
        <w:r w:rsidR="00C71F11">
          <w:rPr>
            <w:webHidden/>
          </w:rPr>
          <w:instrText xml:space="preserve"> PAGEREF _Toc488678384 \h </w:instrText>
        </w:r>
        <w:r w:rsidR="00C71F11">
          <w:rPr>
            <w:webHidden/>
          </w:rPr>
        </w:r>
        <w:r w:rsidR="00C71F11">
          <w:rPr>
            <w:webHidden/>
          </w:rPr>
          <w:fldChar w:fldCharType="separate"/>
        </w:r>
        <w:r w:rsidR="00C71F11">
          <w:rPr>
            <w:webHidden/>
          </w:rPr>
          <w:t>79</w:t>
        </w:r>
        <w:r w:rsidR="00C71F11">
          <w:rPr>
            <w:webHidden/>
          </w:rPr>
          <w:fldChar w:fldCharType="end"/>
        </w:r>
      </w:hyperlink>
    </w:p>
    <w:p w:rsidR="00C71F11" w:rsidRDefault="00D83C6E">
      <w:pPr>
        <w:pStyle w:val="Sumrio2"/>
        <w:rPr>
          <w:rFonts w:asciiTheme="minorHAnsi" w:eastAsiaTheme="minorEastAsia" w:hAnsiTheme="minorHAnsi"/>
          <w:b w:val="0"/>
          <w:sz w:val="22"/>
          <w:lang w:eastAsia="pt-BR"/>
        </w:rPr>
      </w:pPr>
      <w:hyperlink w:anchor="_Toc488678385" w:history="1">
        <w:r w:rsidR="00C71F11" w:rsidRPr="00DB7490">
          <w:rPr>
            <w:rStyle w:val="Hyperlink"/>
          </w:rPr>
          <w:t>5.4 Análise de sensibilidade</w:t>
        </w:r>
        <w:r w:rsidR="00C71F11">
          <w:rPr>
            <w:webHidden/>
          </w:rPr>
          <w:tab/>
        </w:r>
        <w:r w:rsidR="00C71F11">
          <w:rPr>
            <w:webHidden/>
          </w:rPr>
          <w:fldChar w:fldCharType="begin"/>
        </w:r>
        <w:r w:rsidR="00C71F11">
          <w:rPr>
            <w:webHidden/>
          </w:rPr>
          <w:instrText xml:space="preserve"> PAGEREF _Toc488678385 \h </w:instrText>
        </w:r>
        <w:r w:rsidR="00C71F11">
          <w:rPr>
            <w:webHidden/>
          </w:rPr>
        </w:r>
        <w:r w:rsidR="00C71F11">
          <w:rPr>
            <w:webHidden/>
          </w:rPr>
          <w:fldChar w:fldCharType="separate"/>
        </w:r>
        <w:r w:rsidR="00C71F11">
          <w:rPr>
            <w:webHidden/>
          </w:rPr>
          <w:t>80</w:t>
        </w:r>
        <w:r w:rsidR="00C71F11">
          <w:rPr>
            <w:webHidden/>
          </w:rPr>
          <w:fldChar w:fldCharType="end"/>
        </w:r>
      </w:hyperlink>
    </w:p>
    <w:p w:rsidR="00C71F11" w:rsidRDefault="00D83C6E">
      <w:pPr>
        <w:pStyle w:val="Sumrio2"/>
        <w:rPr>
          <w:rFonts w:asciiTheme="minorHAnsi" w:eastAsiaTheme="minorEastAsia" w:hAnsiTheme="minorHAnsi"/>
          <w:b w:val="0"/>
          <w:sz w:val="22"/>
          <w:lang w:eastAsia="pt-BR"/>
        </w:rPr>
      </w:pPr>
      <w:hyperlink w:anchor="_Toc488678386" w:history="1">
        <w:r w:rsidR="00C71F11" w:rsidRPr="00DB7490">
          <w:rPr>
            <w:rStyle w:val="Hyperlink"/>
          </w:rPr>
          <w:t>5.5 Análise de viabilidade econômica – Caso Simples</w:t>
        </w:r>
        <w:r w:rsidR="00C71F11">
          <w:rPr>
            <w:webHidden/>
          </w:rPr>
          <w:tab/>
        </w:r>
        <w:r w:rsidR="00C71F11">
          <w:rPr>
            <w:webHidden/>
          </w:rPr>
          <w:fldChar w:fldCharType="begin"/>
        </w:r>
        <w:r w:rsidR="00C71F11">
          <w:rPr>
            <w:webHidden/>
          </w:rPr>
          <w:instrText xml:space="preserve"> PAGEREF _Toc488678386 \h </w:instrText>
        </w:r>
        <w:r w:rsidR="00C71F11">
          <w:rPr>
            <w:webHidden/>
          </w:rPr>
        </w:r>
        <w:r w:rsidR="00C71F11">
          <w:rPr>
            <w:webHidden/>
          </w:rPr>
          <w:fldChar w:fldCharType="separate"/>
        </w:r>
        <w:r w:rsidR="00C71F11">
          <w:rPr>
            <w:webHidden/>
          </w:rPr>
          <w:t>82</w:t>
        </w:r>
        <w:r w:rsidR="00C71F11">
          <w:rPr>
            <w:webHidden/>
          </w:rPr>
          <w:fldChar w:fldCharType="end"/>
        </w:r>
      </w:hyperlink>
    </w:p>
    <w:p w:rsidR="00C71F11" w:rsidRDefault="00D83C6E">
      <w:pPr>
        <w:pStyle w:val="Sumrio2"/>
        <w:rPr>
          <w:rFonts w:asciiTheme="minorHAnsi" w:eastAsiaTheme="minorEastAsia" w:hAnsiTheme="minorHAnsi"/>
          <w:b w:val="0"/>
          <w:sz w:val="22"/>
          <w:lang w:eastAsia="pt-BR"/>
        </w:rPr>
      </w:pPr>
      <w:hyperlink w:anchor="_Toc488678387" w:history="1">
        <w:r w:rsidR="00C71F11" w:rsidRPr="00DB7490">
          <w:rPr>
            <w:rStyle w:val="Hyperlink"/>
          </w:rPr>
          <w:t>5.6 Análise de viabilidade econômica – Caso Completo</w:t>
        </w:r>
        <w:r w:rsidR="00C71F11">
          <w:rPr>
            <w:webHidden/>
          </w:rPr>
          <w:tab/>
        </w:r>
        <w:r w:rsidR="00C71F11">
          <w:rPr>
            <w:webHidden/>
          </w:rPr>
          <w:fldChar w:fldCharType="begin"/>
        </w:r>
        <w:r w:rsidR="00C71F11">
          <w:rPr>
            <w:webHidden/>
          </w:rPr>
          <w:instrText xml:space="preserve"> PAGEREF _Toc488678387 \h </w:instrText>
        </w:r>
        <w:r w:rsidR="00C71F11">
          <w:rPr>
            <w:webHidden/>
          </w:rPr>
        </w:r>
        <w:r w:rsidR="00C71F11">
          <w:rPr>
            <w:webHidden/>
          </w:rPr>
          <w:fldChar w:fldCharType="separate"/>
        </w:r>
        <w:r w:rsidR="00C71F11">
          <w:rPr>
            <w:webHidden/>
          </w:rPr>
          <w:t>82</w:t>
        </w:r>
        <w:r w:rsidR="00C71F11">
          <w:rPr>
            <w:webHidden/>
          </w:rPr>
          <w:fldChar w:fldCharType="end"/>
        </w:r>
      </w:hyperlink>
    </w:p>
    <w:p w:rsidR="00C71F11" w:rsidRDefault="00D83C6E">
      <w:pPr>
        <w:pStyle w:val="Sumrio2"/>
        <w:rPr>
          <w:rFonts w:asciiTheme="minorHAnsi" w:eastAsiaTheme="minorEastAsia" w:hAnsiTheme="minorHAnsi"/>
          <w:b w:val="0"/>
          <w:sz w:val="22"/>
          <w:lang w:eastAsia="pt-BR"/>
        </w:rPr>
      </w:pPr>
      <w:hyperlink w:anchor="_Toc488678388" w:history="1">
        <w:r w:rsidR="00C71F11" w:rsidRPr="00DB7490">
          <w:rPr>
            <w:rStyle w:val="Hyperlink"/>
          </w:rPr>
          <w:t>5.7 Análise de sensibilidade do preço da Goma Guar</w:t>
        </w:r>
        <w:r w:rsidR="00C71F11">
          <w:rPr>
            <w:webHidden/>
          </w:rPr>
          <w:tab/>
        </w:r>
        <w:r w:rsidR="00C71F11">
          <w:rPr>
            <w:webHidden/>
          </w:rPr>
          <w:fldChar w:fldCharType="begin"/>
        </w:r>
        <w:r w:rsidR="00C71F11">
          <w:rPr>
            <w:webHidden/>
          </w:rPr>
          <w:instrText xml:space="preserve"> PAGEREF _Toc488678388 \h </w:instrText>
        </w:r>
        <w:r w:rsidR="00C71F11">
          <w:rPr>
            <w:webHidden/>
          </w:rPr>
        </w:r>
        <w:r w:rsidR="00C71F11">
          <w:rPr>
            <w:webHidden/>
          </w:rPr>
          <w:fldChar w:fldCharType="separate"/>
        </w:r>
        <w:r w:rsidR="00C71F11">
          <w:rPr>
            <w:webHidden/>
          </w:rPr>
          <w:t>85</w:t>
        </w:r>
        <w:r w:rsidR="00C71F11">
          <w:rPr>
            <w:webHidden/>
          </w:rPr>
          <w:fldChar w:fldCharType="end"/>
        </w:r>
      </w:hyperlink>
    </w:p>
    <w:p w:rsidR="00C71F11" w:rsidRDefault="00D83C6E">
      <w:pPr>
        <w:pStyle w:val="Sumrio1"/>
        <w:rPr>
          <w:rFonts w:asciiTheme="minorHAnsi" w:eastAsiaTheme="minorEastAsia" w:hAnsiTheme="minorHAnsi"/>
          <w:b w:val="0"/>
          <w:sz w:val="22"/>
          <w:lang w:eastAsia="pt-BR"/>
        </w:rPr>
      </w:pPr>
      <w:hyperlink w:anchor="_Toc488678389" w:history="1">
        <w:r w:rsidR="00C71F11" w:rsidRPr="00DB7490">
          <w:rPr>
            <w:rStyle w:val="Hyperlink"/>
          </w:rPr>
          <w:t>6. CONSIDERAÇÕES FINAIS</w:t>
        </w:r>
        <w:r w:rsidR="00C71F11">
          <w:rPr>
            <w:webHidden/>
          </w:rPr>
          <w:tab/>
        </w:r>
        <w:r w:rsidR="00C71F11">
          <w:rPr>
            <w:webHidden/>
          </w:rPr>
          <w:fldChar w:fldCharType="begin"/>
        </w:r>
        <w:r w:rsidR="00C71F11">
          <w:rPr>
            <w:webHidden/>
          </w:rPr>
          <w:instrText xml:space="preserve"> PAGEREF _Toc488678389 \h </w:instrText>
        </w:r>
        <w:r w:rsidR="00C71F11">
          <w:rPr>
            <w:webHidden/>
          </w:rPr>
        </w:r>
        <w:r w:rsidR="00C71F11">
          <w:rPr>
            <w:webHidden/>
          </w:rPr>
          <w:fldChar w:fldCharType="separate"/>
        </w:r>
        <w:r w:rsidR="00C71F11">
          <w:rPr>
            <w:webHidden/>
          </w:rPr>
          <w:t>87</w:t>
        </w:r>
        <w:r w:rsidR="00C71F11">
          <w:rPr>
            <w:webHidden/>
          </w:rPr>
          <w:fldChar w:fldCharType="end"/>
        </w:r>
      </w:hyperlink>
    </w:p>
    <w:p w:rsidR="00C71F11" w:rsidRDefault="00D83C6E">
      <w:pPr>
        <w:pStyle w:val="Sumrio1"/>
        <w:rPr>
          <w:rFonts w:asciiTheme="minorHAnsi" w:eastAsiaTheme="minorEastAsia" w:hAnsiTheme="minorHAnsi"/>
          <w:b w:val="0"/>
          <w:sz w:val="22"/>
          <w:lang w:eastAsia="pt-BR"/>
        </w:rPr>
      </w:pPr>
      <w:hyperlink w:anchor="_Toc488678390" w:history="1">
        <w:r w:rsidR="00C71F11" w:rsidRPr="00DB7490">
          <w:rPr>
            <w:rStyle w:val="Hyperlink"/>
            <w:lang w:val="en-US"/>
          </w:rPr>
          <w:t>REFERÊNCIAS</w:t>
        </w:r>
        <w:r w:rsidR="00C71F11">
          <w:rPr>
            <w:webHidden/>
          </w:rPr>
          <w:tab/>
        </w:r>
        <w:r w:rsidR="00C71F11">
          <w:rPr>
            <w:webHidden/>
          </w:rPr>
          <w:fldChar w:fldCharType="begin"/>
        </w:r>
        <w:r w:rsidR="00C71F11">
          <w:rPr>
            <w:webHidden/>
          </w:rPr>
          <w:instrText xml:space="preserve"> PAGEREF _Toc488678390 \h </w:instrText>
        </w:r>
        <w:r w:rsidR="00C71F11">
          <w:rPr>
            <w:webHidden/>
          </w:rPr>
        </w:r>
        <w:r w:rsidR="00C71F11">
          <w:rPr>
            <w:webHidden/>
          </w:rPr>
          <w:fldChar w:fldCharType="separate"/>
        </w:r>
        <w:r w:rsidR="00C71F11">
          <w:rPr>
            <w:webHidden/>
          </w:rPr>
          <w:t>89</w:t>
        </w:r>
        <w:r w:rsidR="00C71F11">
          <w:rPr>
            <w:webHidden/>
          </w:rPr>
          <w:fldChar w:fldCharType="end"/>
        </w:r>
      </w:hyperlink>
    </w:p>
    <w:p w:rsidR="004A7663" w:rsidRPr="000B661A" w:rsidRDefault="00C75E31" w:rsidP="007024E4">
      <w:pPr>
        <w:autoSpaceDE w:val="0"/>
        <w:autoSpaceDN w:val="0"/>
        <w:adjustRightInd w:val="0"/>
        <w:contextualSpacing w:val="0"/>
        <w:jc w:val="center"/>
        <w:rPr>
          <w:rFonts w:cs="Arial"/>
          <w:i/>
          <w:color w:val="FF0000"/>
          <w:szCs w:val="24"/>
        </w:rPr>
      </w:pPr>
      <w:r>
        <w:rPr>
          <w:rFonts w:cs="Arial"/>
          <w:b/>
          <w:bCs/>
          <w:sz w:val="28"/>
          <w:szCs w:val="28"/>
        </w:rPr>
        <w:fldChar w:fldCharType="end"/>
      </w:r>
    </w:p>
    <w:p w:rsidR="00246E08" w:rsidRDefault="00246E08" w:rsidP="0024372A">
      <w:pPr>
        <w:autoSpaceDE w:val="0"/>
        <w:autoSpaceDN w:val="0"/>
        <w:adjustRightInd w:val="0"/>
        <w:contextualSpacing w:val="0"/>
        <w:jc w:val="left"/>
        <w:rPr>
          <w:rFonts w:cs="Arial"/>
          <w:b/>
          <w:szCs w:val="24"/>
        </w:rPr>
      </w:pPr>
    </w:p>
    <w:p w:rsidR="001531D8" w:rsidRDefault="001531D8" w:rsidP="0024372A">
      <w:pPr>
        <w:autoSpaceDE w:val="0"/>
        <w:autoSpaceDN w:val="0"/>
        <w:adjustRightInd w:val="0"/>
        <w:contextualSpacing w:val="0"/>
        <w:jc w:val="left"/>
        <w:rPr>
          <w:rFonts w:cs="Arial"/>
          <w:b/>
          <w:szCs w:val="24"/>
        </w:rPr>
      </w:pPr>
    </w:p>
    <w:p w:rsidR="00C66C17" w:rsidRDefault="00C66C17" w:rsidP="0024372A">
      <w:pPr>
        <w:autoSpaceDE w:val="0"/>
        <w:autoSpaceDN w:val="0"/>
        <w:adjustRightInd w:val="0"/>
        <w:contextualSpacing w:val="0"/>
        <w:jc w:val="left"/>
        <w:rPr>
          <w:rFonts w:cs="Arial"/>
          <w:b/>
          <w:szCs w:val="24"/>
        </w:rPr>
      </w:pPr>
    </w:p>
    <w:p w:rsidR="00C66C17" w:rsidRDefault="00C66C17" w:rsidP="0024372A">
      <w:pPr>
        <w:autoSpaceDE w:val="0"/>
        <w:autoSpaceDN w:val="0"/>
        <w:adjustRightInd w:val="0"/>
        <w:contextualSpacing w:val="0"/>
        <w:jc w:val="left"/>
        <w:rPr>
          <w:rFonts w:cs="Arial"/>
          <w:b/>
          <w:szCs w:val="24"/>
        </w:rPr>
      </w:pPr>
    </w:p>
    <w:p w:rsidR="00C66C17" w:rsidRDefault="00C66C17" w:rsidP="0024372A">
      <w:pPr>
        <w:autoSpaceDE w:val="0"/>
        <w:autoSpaceDN w:val="0"/>
        <w:adjustRightInd w:val="0"/>
        <w:contextualSpacing w:val="0"/>
        <w:jc w:val="left"/>
        <w:rPr>
          <w:rFonts w:cs="Arial"/>
          <w:b/>
          <w:szCs w:val="24"/>
        </w:rPr>
      </w:pPr>
    </w:p>
    <w:p w:rsidR="00C66C17" w:rsidRDefault="00C66C17" w:rsidP="0024372A">
      <w:pPr>
        <w:autoSpaceDE w:val="0"/>
        <w:autoSpaceDN w:val="0"/>
        <w:adjustRightInd w:val="0"/>
        <w:contextualSpacing w:val="0"/>
        <w:jc w:val="left"/>
        <w:rPr>
          <w:rFonts w:cs="Arial"/>
          <w:b/>
          <w:szCs w:val="24"/>
        </w:rPr>
      </w:pPr>
    </w:p>
    <w:p w:rsidR="001531D8" w:rsidRDefault="001531D8" w:rsidP="0024372A">
      <w:pPr>
        <w:autoSpaceDE w:val="0"/>
        <w:autoSpaceDN w:val="0"/>
        <w:adjustRightInd w:val="0"/>
        <w:contextualSpacing w:val="0"/>
        <w:jc w:val="left"/>
        <w:rPr>
          <w:rFonts w:cs="Arial"/>
          <w:szCs w:val="24"/>
        </w:rPr>
      </w:pPr>
    </w:p>
    <w:p w:rsidR="001531D8" w:rsidRDefault="001531D8" w:rsidP="0024372A">
      <w:pPr>
        <w:autoSpaceDE w:val="0"/>
        <w:autoSpaceDN w:val="0"/>
        <w:adjustRightInd w:val="0"/>
        <w:contextualSpacing w:val="0"/>
        <w:jc w:val="left"/>
        <w:rPr>
          <w:rFonts w:cs="Arial"/>
          <w:szCs w:val="24"/>
        </w:rPr>
      </w:pPr>
    </w:p>
    <w:p w:rsidR="001531D8" w:rsidRDefault="001531D8" w:rsidP="0024372A">
      <w:pPr>
        <w:autoSpaceDE w:val="0"/>
        <w:autoSpaceDN w:val="0"/>
        <w:adjustRightInd w:val="0"/>
        <w:contextualSpacing w:val="0"/>
        <w:jc w:val="left"/>
        <w:rPr>
          <w:rFonts w:cs="Arial"/>
          <w:szCs w:val="24"/>
        </w:rPr>
      </w:pPr>
    </w:p>
    <w:p w:rsidR="00FF25A2" w:rsidRDefault="00FF25A2" w:rsidP="00FF25A2">
      <w:pPr>
        <w:spacing w:after="160" w:line="259" w:lineRule="auto"/>
        <w:contextualSpacing w:val="0"/>
        <w:jc w:val="left"/>
        <w:rPr>
          <w:rFonts w:cs="Arial"/>
          <w:szCs w:val="24"/>
        </w:rPr>
        <w:sectPr w:rsidR="00FF25A2" w:rsidSect="00BE3190">
          <w:pgSz w:w="11906" w:h="16838"/>
          <w:pgMar w:top="1701" w:right="1134" w:bottom="1134" w:left="1701" w:header="709" w:footer="709" w:gutter="0"/>
          <w:cols w:space="708"/>
          <w:docGrid w:linePitch="360"/>
        </w:sectPr>
      </w:pPr>
      <w:r>
        <w:rPr>
          <w:rFonts w:cs="Arial"/>
          <w:szCs w:val="24"/>
        </w:rPr>
        <w:br w:type="page"/>
      </w:r>
    </w:p>
    <w:p w:rsidR="000A327D" w:rsidRPr="00BB7C1B" w:rsidRDefault="000A327D" w:rsidP="005341EF">
      <w:pPr>
        <w:pStyle w:val="Nvel1-PG"/>
        <w:numPr>
          <w:ilvl w:val="0"/>
          <w:numId w:val="7"/>
        </w:numPr>
        <w:tabs>
          <w:tab w:val="left" w:pos="284"/>
        </w:tabs>
        <w:ind w:left="0" w:firstLine="0"/>
      </w:pPr>
      <w:bookmarkStart w:id="5" w:name="_Toc488678322"/>
      <w:r w:rsidRPr="00BB7C1B">
        <w:lastRenderedPageBreak/>
        <w:t>INTRODUÇÃO</w:t>
      </w:r>
      <w:bookmarkEnd w:id="5"/>
    </w:p>
    <w:p w:rsidR="00E50E99" w:rsidRDefault="00BB7C1B" w:rsidP="00E82689">
      <w:pPr>
        <w:autoSpaceDE w:val="0"/>
        <w:autoSpaceDN w:val="0"/>
        <w:adjustRightInd w:val="0"/>
        <w:contextualSpacing w:val="0"/>
        <w:rPr>
          <w:rFonts w:cs="Arial"/>
          <w:szCs w:val="24"/>
        </w:rPr>
      </w:pPr>
      <w:r w:rsidRPr="00BB7C1B">
        <w:rPr>
          <w:rFonts w:cs="Arial"/>
          <w:szCs w:val="24"/>
        </w:rPr>
        <w:t xml:space="preserve">Desde a descoberta do efeito </w:t>
      </w:r>
      <w:r>
        <w:rPr>
          <w:rFonts w:cs="Arial"/>
          <w:szCs w:val="24"/>
        </w:rPr>
        <w:t>de redução de arraste</w:t>
      </w:r>
      <w:r w:rsidR="00B2484D">
        <w:rPr>
          <w:rFonts w:cs="Arial"/>
          <w:szCs w:val="24"/>
        </w:rPr>
        <w:t xml:space="preserve"> (em inglês </w:t>
      </w:r>
      <w:r w:rsidR="00B2484D">
        <w:rPr>
          <w:rFonts w:cs="Arial"/>
          <w:i/>
          <w:szCs w:val="24"/>
        </w:rPr>
        <w:t>drag reduction</w:t>
      </w:r>
      <w:r w:rsidR="00B2484D" w:rsidRPr="00B2484D">
        <w:rPr>
          <w:rFonts w:cs="Arial"/>
          <w:szCs w:val="24"/>
        </w:rPr>
        <w:t xml:space="preserve"> - </w:t>
      </w:r>
      <w:r w:rsidR="00B2484D">
        <w:rPr>
          <w:rFonts w:cs="Arial"/>
          <w:szCs w:val="24"/>
        </w:rPr>
        <w:t>DR)</w:t>
      </w:r>
      <w:r>
        <w:rPr>
          <w:rFonts w:cs="Arial"/>
          <w:szCs w:val="24"/>
        </w:rPr>
        <w:t xml:space="preserve">, </w:t>
      </w:r>
      <w:r w:rsidR="00B16A13">
        <w:rPr>
          <w:rFonts w:cs="Arial"/>
          <w:szCs w:val="24"/>
        </w:rPr>
        <w:t xml:space="preserve">ocorrida a </w:t>
      </w:r>
      <w:r w:rsidR="00413B78">
        <w:rPr>
          <w:rFonts w:cs="Arial"/>
          <w:szCs w:val="24"/>
        </w:rPr>
        <w:t xml:space="preserve">quase </w:t>
      </w:r>
      <w:r>
        <w:rPr>
          <w:rFonts w:cs="Arial"/>
          <w:szCs w:val="24"/>
        </w:rPr>
        <w:t xml:space="preserve">70 anos, </w:t>
      </w:r>
      <w:r w:rsidR="00B2484D">
        <w:rPr>
          <w:rFonts w:cs="Arial"/>
          <w:szCs w:val="24"/>
        </w:rPr>
        <w:t xml:space="preserve">este </w:t>
      </w:r>
      <w:r>
        <w:rPr>
          <w:rFonts w:cs="Arial"/>
          <w:szCs w:val="24"/>
        </w:rPr>
        <w:t>fenômeno vem sendo estudado pela comunidade científica</w:t>
      </w:r>
      <w:r w:rsidR="00B16A13">
        <w:rPr>
          <w:rFonts w:cs="Arial"/>
          <w:szCs w:val="24"/>
        </w:rPr>
        <w:t>. Diversos resultados sobre os efeitos</w:t>
      </w:r>
      <w:r w:rsidR="00B2484D">
        <w:rPr>
          <w:rFonts w:cs="Arial"/>
          <w:szCs w:val="24"/>
        </w:rPr>
        <w:t xml:space="preserve"> </w:t>
      </w:r>
      <w:r w:rsidR="00B16A13">
        <w:rPr>
          <w:rFonts w:cs="Arial"/>
          <w:szCs w:val="24"/>
        </w:rPr>
        <w:t>da redução de arraste na economia de energia encorajam cada vez mais</w:t>
      </w:r>
      <w:r w:rsidR="00E50E99">
        <w:rPr>
          <w:rFonts w:cs="Arial"/>
          <w:szCs w:val="24"/>
        </w:rPr>
        <w:t xml:space="preserve"> as </w:t>
      </w:r>
      <w:r w:rsidR="006B3C5E">
        <w:rPr>
          <w:rFonts w:cs="Arial"/>
          <w:szCs w:val="24"/>
        </w:rPr>
        <w:t>indústrias</w:t>
      </w:r>
      <w:r w:rsidR="00E50E99">
        <w:rPr>
          <w:rFonts w:cs="Arial"/>
          <w:szCs w:val="24"/>
        </w:rPr>
        <w:t xml:space="preserve"> </w:t>
      </w:r>
      <w:r w:rsidR="00E50E99" w:rsidRPr="00E82689">
        <w:rPr>
          <w:rFonts w:cs="Arial"/>
          <w:szCs w:val="24"/>
        </w:rPr>
        <w:t>de petróleo e gás,</w:t>
      </w:r>
      <w:r w:rsidR="00E50E99">
        <w:rPr>
          <w:rFonts w:cs="Arial"/>
          <w:szCs w:val="24"/>
        </w:rPr>
        <w:t xml:space="preserve"> química,</w:t>
      </w:r>
      <w:r w:rsidR="00E50E99" w:rsidRPr="00E82689">
        <w:rPr>
          <w:rFonts w:cs="Arial"/>
          <w:szCs w:val="24"/>
        </w:rPr>
        <w:t xml:space="preserve"> </w:t>
      </w:r>
      <w:r w:rsidR="00E50E99">
        <w:rPr>
          <w:rFonts w:cs="Arial"/>
          <w:szCs w:val="24"/>
        </w:rPr>
        <w:t>alimentícia e</w:t>
      </w:r>
      <w:r w:rsidR="00E50E99" w:rsidRPr="00E82689">
        <w:rPr>
          <w:rFonts w:cs="Arial"/>
          <w:szCs w:val="24"/>
        </w:rPr>
        <w:t xml:space="preserve"> </w:t>
      </w:r>
      <w:r w:rsidR="00E50E99">
        <w:rPr>
          <w:rFonts w:cs="Arial"/>
          <w:szCs w:val="24"/>
        </w:rPr>
        <w:t xml:space="preserve">de </w:t>
      </w:r>
      <w:r w:rsidR="00E50E99" w:rsidRPr="00E82689">
        <w:rPr>
          <w:rFonts w:cs="Arial"/>
          <w:szCs w:val="24"/>
        </w:rPr>
        <w:t>medic</w:t>
      </w:r>
      <w:r w:rsidR="00E50E99">
        <w:rPr>
          <w:rFonts w:cs="Arial"/>
          <w:szCs w:val="24"/>
        </w:rPr>
        <w:t>amentos</w:t>
      </w:r>
      <w:r w:rsidR="00B16A13">
        <w:rPr>
          <w:rFonts w:cs="Arial"/>
          <w:szCs w:val="24"/>
        </w:rPr>
        <w:t xml:space="preserve"> </w:t>
      </w:r>
      <w:r w:rsidR="00E50E99">
        <w:rPr>
          <w:rFonts w:cs="Arial"/>
          <w:szCs w:val="24"/>
        </w:rPr>
        <w:t xml:space="preserve">a investir nos </w:t>
      </w:r>
      <w:r w:rsidR="00B16A13">
        <w:rPr>
          <w:rFonts w:cs="Arial"/>
          <w:szCs w:val="24"/>
        </w:rPr>
        <w:t xml:space="preserve">estudos </w:t>
      </w:r>
      <w:r w:rsidR="00E50E99">
        <w:rPr>
          <w:rFonts w:cs="Arial"/>
          <w:szCs w:val="24"/>
        </w:rPr>
        <w:t xml:space="preserve">desta </w:t>
      </w:r>
      <w:r w:rsidR="00B16A13">
        <w:rPr>
          <w:rFonts w:cs="Arial"/>
          <w:szCs w:val="24"/>
        </w:rPr>
        <w:t xml:space="preserve">área, almejando a melhor </w:t>
      </w:r>
      <w:r w:rsidR="006D2D0B">
        <w:rPr>
          <w:rFonts w:cs="Arial"/>
          <w:szCs w:val="24"/>
        </w:rPr>
        <w:t>maneira de</w:t>
      </w:r>
      <w:r w:rsidR="00B16A13">
        <w:rPr>
          <w:rFonts w:cs="Arial"/>
          <w:szCs w:val="24"/>
        </w:rPr>
        <w:t xml:space="preserve"> fazer uso deste fenômeno</w:t>
      </w:r>
      <w:r w:rsidR="00E50E99">
        <w:rPr>
          <w:rFonts w:cs="Arial"/>
          <w:szCs w:val="24"/>
        </w:rPr>
        <w:t>.</w:t>
      </w:r>
      <w:r w:rsidR="00A1255C">
        <w:rPr>
          <w:rFonts w:cs="Arial"/>
          <w:szCs w:val="24"/>
        </w:rPr>
        <w:t xml:space="preserve"> </w:t>
      </w:r>
      <w:r w:rsidR="00E50E99">
        <w:rPr>
          <w:rFonts w:cs="Arial"/>
          <w:szCs w:val="24"/>
        </w:rPr>
        <w:t>Todavia, nem mesmo as teorias mais recentes conseguem explicar todos os mecanismos e fenômenos que compõe</w:t>
      </w:r>
      <w:r w:rsidR="006D2D0B">
        <w:rPr>
          <w:rFonts w:cs="Arial"/>
          <w:szCs w:val="24"/>
        </w:rPr>
        <w:t>m</w:t>
      </w:r>
      <w:r w:rsidR="00E50E99">
        <w:rPr>
          <w:rFonts w:cs="Arial"/>
          <w:szCs w:val="24"/>
        </w:rPr>
        <w:t xml:space="preserve"> a redução de arraste, dada a co</w:t>
      </w:r>
      <w:r w:rsidR="006D2D0B">
        <w:rPr>
          <w:rFonts w:cs="Arial"/>
          <w:szCs w:val="24"/>
        </w:rPr>
        <w:t>mplexidade do fluxo turbulento.</w:t>
      </w:r>
    </w:p>
    <w:p w:rsidR="008C53E8" w:rsidRDefault="008C53E8" w:rsidP="00E82689">
      <w:pPr>
        <w:autoSpaceDE w:val="0"/>
        <w:autoSpaceDN w:val="0"/>
        <w:adjustRightInd w:val="0"/>
        <w:contextualSpacing w:val="0"/>
        <w:rPr>
          <w:rFonts w:cs="Arial"/>
          <w:szCs w:val="24"/>
        </w:rPr>
      </w:pPr>
      <w:r w:rsidRPr="00D67ACC">
        <w:rPr>
          <w:rFonts w:cs="Arial"/>
          <w:szCs w:val="24"/>
        </w:rPr>
        <w:t xml:space="preserve">O efeito líquido </w:t>
      </w:r>
      <w:r>
        <w:rPr>
          <w:rFonts w:cs="Arial"/>
          <w:szCs w:val="24"/>
        </w:rPr>
        <w:t>das</w:t>
      </w:r>
      <w:r w:rsidRPr="00D67ACC">
        <w:rPr>
          <w:rFonts w:cs="Arial"/>
          <w:szCs w:val="24"/>
        </w:rPr>
        <w:t xml:space="preserve"> mudanças conformacionais </w:t>
      </w:r>
      <w:r>
        <w:rPr>
          <w:rFonts w:cs="Arial"/>
          <w:szCs w:val="24"/>
        </w:rPr>
        <w:t xml:space="preserve">proveniente da inserção do aditivo no fluido </w:t>
      </w:r>
      <w:r w:rsidRPr="00D67ACC">
        <w:rPr>
          <w:rFonts w:cs="Arial"/>
          <w:szCs w:val="24"/>
        </w:rPr>
        <w:t xml:space="preserve">aparece como uma tensão elástica intrínseca que altera o </w:t>
      </w:r>
      <w:r w:rsidRPr="002C6728">
        <w:rPr>
          <w:rFonts w:cs="Arial"/>
          <w:szCs w:val="24"/>
        </w:rPr>
        <w:t>campo de fluxo [</w:t>
      </w:r>
      <w:r w:rsidR="00C00C5A" w:rsidRPr="002C6728">
        <w:rPr>
          <w:rFonts w:cs="Arial"/>
          <w:szCs w:val="24"/>
        </w:rPr>
        <w:t>1</w:t>
      </w:r>
      <w:r w:rsidRPr="002C6728">
        <w:rPr>
          <w:rFonts w:cs="Arial"/>
          <w:szCs w:val="24"/>
        </w:rPr>
        <w:t>] e a dinâmica de estruturas turbulentas</w:t>
      </w:r>
      <w:r w:rsidR="006D2D0B" w:rsidRPr="002C6728">
        <w:rPr>
          <w:rFonts w:cs="Arial"/>
          <w:szCs w:val="24"/>
        </w:rPr>
        <w:t>,</w:t>
      </w:r>
      <w:r w:rsidRPr="002C6728">
        <w:rPr>
          <w:rFonts w:cs="Arial"/>
          <w:szCs w:val="24"/>
        </w:rPr>
        <w:t xml:space="preserve"> próxima</w:t>
      </w:r>
      <w:r w:rsidR="006D2D0B" w:rsidRPr="002C6728">
        <w:rPr>
          <w:rFonts w:cs="Arial"/>
          <w:szCs w:val="24"/>
        </w:rPr>
        <w:t>s</w:t>
      </w:r>
      <w:r w:rsidRPr="002C6728">
        <w:rPr>
          <w:rFonts w:cs="Arial"/>
          <w:szCs w:val="24"/>
        </w:rPr>
        <w:t xml:space="preserve"> </w:t>
      </w:r>
      <w:r w:rsidR="006D2D0B" w:rsidRPr="002C6728">
        <w:rPr>
          <w:rFonts w:cs="Arial"/>
          <w:szCs w:val="24"/>
        </w:rPr>
        <w:t>à</w:t>
      </w:r>
      <w:r w:rsidRPr="002C6728">
        <w:rPr>
          <w:rFonts w:cs="Arial"/>
          <w:szCs w:val="24"/>
        </w:rPr>
        <w:t xml:space="preserve"> parede</w:t>
      </w:r>
      <w:r w:rsidR="006D2D0B" w:rsidRPr="002C6728">
        <w:rPr>
          <w:rFonts w:cs="Arial"/>
          <w:szCs w:val="24"/>
        </w:rPr>
        <w:t>,</w:t>
      </w:r>
      <w:r w:rsidRPr="002C6728">
        <w:rPr>
          <w:rFonts w:cs="Arial"/>
          <w:szCs w:val="24"/>
        </w:rPr>
        <w:t xml:space="preserve"> que controlam a transferência de momento para a parede. O resultado macroscópico é uma redução drástica do fator de atrito. </w:t>
      </w:r>
      <w:r w:rsidR="00413B78" w:rsidRPr="002C6728">
        <w:rPr>
          <w:rFonts w:cs="Arial"/>
          <w:szCs w:val="24"/>
        </w:rPr>
        <w:t xml:space="preserve">De uma maneira geral, o fenômeno de redução de </w:t>
      </w:r>
      <w:r w:rsidR="008F7E31" w:rsidRPr="002C6728">
        <w:rPr>
          <w:rFonts w:cs="Arial"/>
          <w:szCs w:val="24"/>
        </w:rPr>
        <w:t xml:space="preserve">arraste </w:t>
      </w:r>
      <w:r w:rsidR="008F7E31">
        <w:rPr>
          <w:rFonts w:cs="Arial"/>
          <w:szCs w:val="24"/>
        </w:rPr>
        <w:t>pode ser expli</w:t>
      </w:r>
      <w:r w:rsidR="006D2D0B">
        <w:rPr>
          <w:rFonts w:cs="Arial"/>
          <w:szCs w:val="24"/>
        </w:rPr>
        <w:t>cado por esta</w:t>
      </w:r>
      <w:r w:rsidR="008F7E31">
        <w:rPr>
          <w:rFonts w:cs="Arial"/>
          <w:szCs w:val="24"/>
        </w:rPr>
        <w:t xml:space="preserve"> diminuição </w:t>
      </w:r>
      <w:r w:rsidR="007F06CF">
        <w:rPr>
          <w:rFonts w:cs="Arial"/>
          <w:szCs w:val="24"/>
        </w:rPr>
        <w:t xml:space="preserve">significativa </w:t>
      </w:r>
      <w:r w:rsidR="008F7E31">
        <w:rPr>
          <w:rFonts w:cs="Arial"/>
          <w:szCs w:val="24"/>
        </w:rPr>
        <w:t>do atrito</w:t>
      </w:r>
      <w:r w:rsidR="00D67ACC">
        <w:rPr>
          <w:rFonts w:cs="Arial"/>
          <w:szCs w:val="24"/>
        </w:rPr>
        <w:t xml:space="preserve"> -</w:t>
      </w:r>
      <w:r w:rsidR="007F06CF">
        <w:rPr>
          <w:rFonts w:cs="Arial"/>
          <w:szCs w:val="24"/>
        </w:rPr>
        <w:t xml:space="preserve"> ocasionado entre o fluido e a superfície da tubulação</w:t>
      </w:r>
      <w:r w:rsidR="00D67ACC">
        <w:rPr>
          <w:rFonts w:cs="Arial"/>
          <w:szCs w:val="24"/>
        </w:rPr>
        <w:t xml:space="preserve"> -</w:t>
      </w:r>
      <w:r w:rsidR="007F06CF">
        <w:rPr>
          <w:rFonts w:cs="Arial"/>
          <w:szCs w:val="24"/>
        </w:rPr>
        <w:t xml:space="preserve"> através da solubilização de pequenas quantidades de materiais específicos </w:t>
      </w:r>
      <w:r w:rsidR="00D67ACC">
        <w:rPr>
          <w:rFonts w:cs="Arial"/>
          <w:szCs w:val="24"/>
        </w:rPr>
        <w:t>(polímeros, fibras e/ou surfactantes</w:t>
      </w:r>
      <w:r w:rsidR="007F06CF">
        <w:rPr>
          <w:rFonts w:cs="Arial"/>
          <w:szCs w:val="24"/>
        </w:rPr>
        <w:t>) ao solvente.</w:t>
      </w:r>
    </w:p>
    <w:p w:rsidR="00E50E99" w:rsidRDefault="00D67ACC" w:rsidP="00E82689">
      <w:pPr>
        <w:autoSpaceDE w:val="0"/>
        <w:autoSpaceDN w:val="0"/>
        <w:adjustRightInd w:val="0"/>
        <w:contextualSpacing w:val="0"/>
        <w:rPr>
          <w:rFonts w:cs="Arial"/>
          <w:szCs w:val="24"/>
        </w:rPr>
      </w:pPr>
      <w:r w:rsidRPr="00D67ACC">
        <w:rPr>
          <w:rFonts w:cs="Arial"/>
          <w:szCs w:val="24"/>
        </w:rPr>
        <w:t>Para as aplicações nas quais o acúmulo a lo</w:t>
      </w:r>
      <w:r w:rsidR="008C53E8">
        <w:rPr>
          <w:rFonts w:cs="Arial"/>
          <w:szCs w:val="24"/>
        </w:rPr>
        <w:t>ngo prazo do polímero no ambiente</w:t>
      </w:r>
      <w:r w:rsidRPr="00D67ACC">
        <w:rPr>
          <w:rFonts w:cs="Arial"/>
          <w:szCs w:val="24"/>
        </w:rPr>
        <w:t xml:space="preserve"> receptor ou a contaminação do fluido (solvente) são questões de interesse, são utilizados biopolímeros em vez de polímeros sintéticos tradicionais, uma vez que podem ser biodegradados com mais facilidade.</w:t>
      </w:r>
    </w:p>
    <w:p w:rsidR="00BF5895" w:rsidRDefault="008C53E8" w:rsidP="00E82689">
      <w:pPr>
        <w:autoSpaceDE w:val="0"/>
        <w:autoSpaceDN w:val="0"/>
        <w:adjustRightInd w:val="0"/>
        <w:contextualSpacing w:val="0"/>
        <w:rPr>
          <w:rFonts w:cs="Arial"/>
          <w:szCs w:val="24"/>
        </w:rPr>
      </w:pPr>
      <w:r>
        <w:rPr>
          <w:rFonts w:cs="Arial"/>
          <w:szCs w:val="24"/>
        </w:rPr>
        <w:t>Apesar de já ser bem</w:t>
      </w:r>
      <w:r w:rsidRPr="008C53E8">
        <w:rPr>
          <w:rFonts w:cs="Arial"/>
          <w:szCs w:val="24"/>
        </w:rPr>
        <w:t xml:space="preserve"> explorada para sistemas de combate a incêndio</w:t>
      </w:r>
      <w:r w:rsidR="00F3071A">
        <w:rPr>
          <w:rFonts w:cs="Arial"/>
          <w:szCs w:val="24"/>
        </w:rPr>
        <w:t xml:space="preserve"> </w:t>
      </w:r>
      <w:r w:rsidR="00F3071A" w:rsidRPr="002C6728">
        <w:rPr>
          <w:rFonts w:cs="Arial"/>
          <w:szCs w:val="24"/>
        </w:rPr>
        <w:t>[</w:t>
      </w:r>
      <w:r w:rsidR="002C6728" w:rsidRPr="002C6728">
        <w:rPr>
          <w:rFonts w:cs="Arial"/>
          <w:szCs w:val="24"/>
        </w:rPr>
        <w:t>2</w:t>
      </w:r>
      <w:r w:rsidR="00F3071A" w:rsidRPr="002C6728">
        <w:rPr>
          <w:rFonts w:cs="Arial"/>
          <w:szCs w:val="24"/>
        </w:rPr>
        <w:t>]</w:t>
      </w:r>
      <w:r w:rsidRPr="008C53E8">
        <w:rPr>
          <w:rFonts w:cs="Arial"/>
          <w:szCs w:val="24"/>
        </w:rPr>
        <w:t xml:space="preserve">, operações de dragagem, </w:t>
      </w:r>
      <w:r w:rsidR="00F3071A">
        <w:rPr>
          <w:rFonts w:cs="Arial"/>
          <w:szCs w:val="24"/>
        </w:rPr>
        <w:t xml:space="preserve">fraturamento </w:t>
      </w:r>
      <w:r w:rsidR="002C6728" w:rsidRPr="002C6728">
        <w:rPr>
          <w:rFonts w:cs="Arial"/>
          <w:szCs w:val="24"/>
        </w:rPr>
        <w:t>[</w:t>
      </w:r>
      <w:r w:rsidR="00F3071A" w:rsidRPr="002C6728">
        <w:rPr>
          <w:rFonts w:cs="Arial"/>
          <w:szCs w:val="24"/>
        </w:rPr>
        <w:t>3]</w:t>
      </w:r>
      <w:r w:rsidRPr="002C6728">
        <w:rPr>
          <w:rFonts w:cs="Arial"/>
          <w:szCs w:val="24"/>
        </w:rPr>
        <w:t xml:space="preserve">, controle </w:t>
      </w:r>
      <w:r>
        <w:rPr>
          <w:rFonts w:cs="Arial"/>
          <w:szCs w:val="24"/>
        </w:rPr>
        <w:t xml:space="preserve">de inundações no sistema de esgoto </w:t>
      </w:r>
      <w:r w:rsidRPr="008C53E8">
        <w:rPr>
          <w:rFonts w:cs="Arial"/>
          <w:szCs w:val="24"/>
        </w:rPr>
        <w:t>e para o transporte melhorado de sólidos em suspensão</w:t>
      </w:r>
      <w:r w:rsidR="00F3071A">
        <w:rPr>
          <w:rFonts w:cs="Arial"/>
          <w:szCs w:val="24"/>
        </w:rPr>
        <w:t xml:space="preserve"> </w:t>
      </w:r>
      <w:r w:rsidR="000F7BD6">
        <w:rPr>
          <w:rFonts w:cs="Arial"/>
          <w:szCs w:val="24"/>
        </w:rPr>
        <w:t>[</w:t>
      </w:r>
      <w:r w:rsidR="00F3071A" w:rsidRPr="000F7BD6">
        <w:rPr>
          <w:rFonts w:cs="Arial"/>
          <w:szCs w:val="24"/>
        </w:rPr>
        <w:t>4]</w:t>
      </w:r>
      <w:r>
        <w:rPr>
          <w:rFonts w:cs="Arial"/>
          <w:szCs w:val="24"/>
        </w:rPr>
        <w:t>, muitas empresas ainda carecem de um resultado que clarifique a economia que pode ser obtida pela implantação de um sistema que promova a redução de arraste em suas operações.</w:t>
      </w:r>
      <w:r w:rsidR="00B2484D">
        <w:rPr>
          <w:rFonts w:cs="Arial"/>
          <w:szCs w:val="24"/>
        </w:rPr>
        <w:t xml:space="preserve"> O </w:t>
      </w:r>
      <w:r w:rsidR="00E82689" w:rsidRPr="00E82689">
        <w:rPr>
          <w:rFonts w:cs="Arial"/>
          <w:szCs w:val="24"/>
        </w:rPr>
        <w:t xml:space="preserve">presente trabalho traz informações sobre o estudo </w:t>
      </w:r>
      <w:r w:rsidR="00B2484D">
        <w:rPr>
          <w:rFonts w:cs="Arial"/>
          <w:szCs w:val="24"/>
        </w:rPr>
        <w:t xml:space="preserve">da economia de energia gerada por </w:t>
      </w:r>
      <w:r w:rsidR="00E82689" w:rsidRPr="00E82689">
        <w:rPr>
          <w:rFonts w:cs="Arial"/>
          <w:szCs w:val="24"/>
        </w:rPr>
        <w:t>aditivos com potencial para reduzir o arras</w:t>
      </w:r>
      <w:r w:rsidR="00B2484D">
        <w:rPr>
          <w:rFonts w:cs="Arial"/>
          <w:szCs w:val="24"/>
        </w:rPr>
        <w:t xml:space="preserve">te em um escoamento turbulento, levando em consideração os custos </w:t>
      </w:r>
      <w:r w:rsidR="006D2D0B">
        <w:rPr>
          <w:rFonts w:cs="Arial"/>
          <w:szCs w:val="24"/>
        </w:rPr>
        <w:t>inerentes a</w:t>
      </w:r>
      <w:r w:rsidR="00B2484D">
        <w:rPr>
          <w:rFonts w:cs="Arial"/>
          <w:szCs w:val="24"/>
        </w:rPr>
        <w:t xml:space="preserve"> equipamentos, material, mão-de-obra e logística</w:t>
      </w:r>
      <w:r w:rsidR="00E82689" w:rsidRPr="00E82689">
        <w:rPr>
          <w:rFonts w:cs="Arial"/>
          <w:szCs w:val="24"/>
        </w:rPr>
        <w:t>.</w:t>
      </w:r>
    </w:p>
    <w:p w:rsidR="00887065" w:rsidRDefault="00887065" w:rsidP="00613678">
      <w:pPr>
        <w:pStyle w:val="Nvel2-PG"/>
      </w:pPr>
    </w:p>
    <w:p w:rsidR="00887065" w:rsidRDefault="00887065" w:rsidP="00613678">
      <w:pPr>
        <w:pStyle w:val="Nvel2-PG"/>
      </w:pPr>
    </w:p>
    <w:p w:rsidR="000F7BD6" w:rsidRDefault="000F7BD6" w:rsidP="00613678">
      <w:pPr>
        <w:pStyle w:val="Nvel2-PG"/>
      </w:pPr>
    </w:p>
    <w:p w:rsidR="006D2D0B" w:rsidRDefault="00887065" w:rsidP="00613678">
      <w:pPr>
        <w:pStyle w:val="Nvel2-PG"/>
      </w:pPr>
      <w:bookmarkStart w:id="6" w:name="_Toc488678323"/>
      <w:r>
        <w:lastRenderedPageBreak/>
        <w:t xml:space="preserve">1.1 </w:t>
      </w:r>
      <w:r w:rsidR="006D2D0B">
        <w:t>Motivação</w:t>
      </w:r>
      <w:bookmarkEnd w:id="6"/>
    </w:p>
    <w:p w:rsidR="00BE3A42" w:rsidRDefault="00BE3A42" w:rsidP="00C75E31">
      <w:r w:rsidRPr="00BE3A42">
        <w:t xml:space="preserve">Com o aumento da demanda energética e a constante busca pela </w:t>
      </w:r>
      <w:r w:rsidR="00F75DF8">
        <w:t>solução de</w:t>
      </w:r>
      <w:r w:rsidRPr="00BE3A42">
        <w:t xml:space="preserve"> </w:t>
      </w:r>
      <w:r w:rsidR="00F75DF8">
        <w:t xml:space="preserve">questões </w:t>
      </w:r>
      <w:r w:rsidRPr="00BE3A42">
        <w:t>econômicas, sociais e com o meio ambiente, os estudos direcionados a</w:t>
      </w:r>
      <w:r>
        <w:t xml:space="preserve"> eliminação de perdas energéticas em</w:t>
      </w:r>
      <w:r w:rsidR="00752D30">
        <w:t xml:space="preserve"> plantas</w:t>
      </w:r>
      <w:r w:rsidRPr="00BE3A42">
        <w:t xml:space="preserve"> já existentes vem se intensificando, almejando assim uma melhoria </w:t>
      </w:r>
      <w:r>
        <w:t xml:space="preserve">em sua </w:t>
      </w:r>
      <w:r w:rsidRPr="00BE3A42">
        <w:t>eficiência</w:t>
      </w:r>
      <w:r w:rsidR="00752D30">
        <w:t>, de forma a economizar energia ou disponibilizar esta energia para outro fim</w:t>
      </w:r>
      <w:r w:rsidRPr="00BE3A42">
        <w:t>.</w:t>
      </w:r>
    </w:p>
    <w:p w:rsidR="006C5774" w:rsidRDefault="00752D30" w:rsidP="00C75E31">
      <w:pPr>
        <w:rPr>
          <w:rFonts w:cs="Arial"/>
          <w:szCs w:val="24"/>
        </w:rPr>
      </w:pPr>
      <w:r>
        <w:rPr>
          <w:rFonts w:cs="Arial"/>
          <w:szCs w:val="24"/>
        </w:rPr>
        <w:t xml:space="preserve">Nas aplicações que envolvem </w:t>
      </w:r>
      <w:r w:rsidR="007E7A89" w:rsidRPr="007E7A89">
        <w:rPr>
          <w:rFonts w:cs="Arial"/>
          <w:szCs w:val="24"/>
        </w:rPr>
        <w:t>o tr</w:t>
      </w:r>
      <w:r>
        <w:rPr>
          <w:rFonts w:cs="Arial"/>
          <w:szCs w:val="24"/>
        </w:rPr>
        <w:t xml:space="preserve">ansporte de um fluido qualquer, sempre irá existir </w:t>
      </w:r>
      <w:r w:rsidR="007E7A89" w:rsidRPr="007E7A89">
        <w:rPr>
          <w:rFonts w:cs="Arial"/>
          <w:szCs w:val="24"/>
        </w:rPr>
        <w:t>uma perda de carga</w:t>
      </w:r>
      <w:r>
        <w:rPr>
          <w:rFonts w:cs="Arial"/>
          <w:szCs w:val="24"/>
        </w:rPr>
        <w:t xml:space="preserve"> associada que representará uma energia que sai do sistema sem realizar trabalho</w:t>
      </w:r>
      <w:r w:rsidR="007E7A89" w:rsidRPr="007E7A89">
        <w:rPr>
          <w:rFonts w:cs="Arial"/>
          <w:szCs w:val="24"/>
        </w:rPr>
        <w:t xml:space="preserve">. </w:t>
      </w:r>
      <w:r>
        <w:rPr>
          <w:rFonts w:cs="Arial"/>
          <w:szCs w:val="24"/>
        </w:rPr>
        <w:t xml:space="preserve">O aumento de parâmetros que resultam em um maior </w:t>
      </w:r>
      <w:r w:rsidR="007E7A89">
        <w:rPr>
          <w:rFonts w:cs="Arial"/>
          <w:szCs w:val="24"/>
        </w:rPr>
        <w:t xml:space="preserve">número </w:t>
      </w:r>
      <w:r w:rsidR="00B0120C">
        <w:rPr>
          <w:rFonts w:cs="Arial"/>
          <w:szCs w:val="24"/>
        </w:rPr>
        <w:t>de Reynolds aumenta</w:t>
      </w:r>
      <w:r>
        <w:rPr>
          <w:rFonts w:cs="Arial"/>
          <w:szCs w:val="24"/>
        </w:rPr>
        <w:t xml:space="preserve"> a perda de carga associada ao sistema, demandando</w:t>
      </w:r>
      <w:r w:rsidR="006C5774">
        <w:rPr>
          <w:rFonts w:cs="Arial"/>
          <w:szCs w:val="24"/>
        </w:rPr>
        <w:t xml:space="preserve"> mais energia para manter o escoamento.</w:t>
      </w:r>
    </w:p>
    <w:p w:rsidR="007E7A89" w:rsidRDefault="006C5774" w:rsidP="00C75E31">
      <w:pPr>
        <w:rPr>
          <w:rFonts w:cs="Arial"/>
          <w:szCs w:val="24"/>
        </w:rPr>
      </w:pPr>
      <w:r>
        <w:rPr>
          <w:rFonts w:cs="Arial"/>
          <w:szCs w:val="24"/>
        </w:rPr>
        <w:t>A redução de arrast</w:t>
      </w:r>
      <w:r w:rsidR="00091F2F">
        <w:rPr>
          <w:rFonts w:cs="Arial"/>
          <w:szCs w:val="24"/>
        </w:rPr>
        <w:t>e é uma alternativa no combate às</w:t>
      </w:r>
      <w:r>
        <w:rPr>
          <w:rFonts w:cs="Arial"/>
          <w:szCs w:val="24"/>
        </w:rPr>
        <w:t xml:space="preserve"> perdas energéticas, visto que é</w:t>
      </w:r>
      <w:r w:rsidR="007E7A89">
        <w:rPr>
          <w:rFonts w:cs="Arial"/>
          <w:szCs w:val="24"/>
        </w:rPr>
        <w:t xml:space="preserve"> </w:t>
      </w:r>
      <w:r>
        <w:rPr>
          <w:rFonts w:cs="Arial"/>
          <w:szCs w:val="24"/>
        </w:rPr>
        <w:t xml:space="preserve">possível diminuí-las </w:t>
      </w:r>
      <w:r w:rsidR="007E7A89" w:rsidRPr="007E7A89">
        <w:rPr>
          <w:rFonts w:cs="Arial"/>
          <w:szCs w:val="24"/>
        </w:rPr>
        <w:t xml:space="preserve">através da utilização de </w:t>
      </w:r>
      <w:r>
        <w:rPr>
          <w:rFonts w:cs="Arial"/>
          <w:szCs w:val="24"/>
        </w:rPr>
        <w:t>aditivos</w:t>
      </w:r>
      <w:r w:rsidR="007E7A89" w:rsidRPr="007E7A89">
        <w:rPr>
          <w:rFonts w:cs="Arial"/>
          <w:szCs w:val="24"/>
        </w:rPr>
        <w:t>. Esses aditivos podem ser polímeros, surfactantes, fib</w:t>
      </w:r>
      <w:r w:rsidR="007E7A89">
        <w:rPr>
          <w:rFonts w:cs="Arial"/>
          <w:szCs w:val="24"/>
        </w:rPr>
        <w:t xml:space="preserve">ras </w:t>
      </w:r>
      <w:r w:rsidR="007E7A89" w:rsidRPr="007E7A89">
        <w:rPr>
          <w:rFonts w:cs="Arial"/>
          <w:szCs w:val="24"/>
        </w:rPr>
        <w:t xml:space="preserve">e bolhas de gás. </w:t>
      </w:r>
      <w:r w:rsidR="00C00C5A">
        <w:rPr>
          <w:rFonts w:cs="Arial"/>
          <w:szCs w:val="24"/>
        </w:rPr>
        <w:t xml:space="preserve">Segundo </w:t>
      </w:r>
      <w:r w:rsidR="000F7BD6">
        <w:rPr>
          <w:rFonts w:cs="Arial"/>
          <w:szCs w:val="24"/>
        </w:rPr>
        <w:t xml:space="preserve">Virk </w:t>
      </w:r>
      <w:r w:rsidR="000F7BD6" w:rsidRPr="000F7BD6">
        <w:rPr>
          <w:rFonts w:cs="Arial"/>
          <w:szCs w:val="24"/>
        </w:rPr>
        <w:t>[5</w:t>
      </w:r>
      <w:r w:rsidRPr="000F7BD6">
        <w:rPr>
          <w:rFonts w:cs="Arial"/>
          <w:szCs w:val="24"/>
        </w:rPr>
        <w:t>]</w:t>
      </w:r>
      <w:r>
        <w:rPr>
          <w:rFonts w:cs="Arial"/>
          <w:szCs w:val="24"/>
        </w:rPr>
        <w:t xml:space="preserve"> </w:t>
      </w:r>
      <w:r w:rsidR="0045612D">
        <w:rPr>
          <w:rFonts w:cs="Arial"/>
          <w:szCs w:val="24"/>
        </w:rPr>
        <w:t>e</w:t>
      </w:r>
      <w:r w:rsidR="007E7A89" w:rsidRPr="007E7A89">
        <w:rPr>
          <w:rFonts w:cs="Arial"/>
          <w:szCs w:val="24"/>
        </w:rPr>
        <w:t>m tubulações, por exemplo, a adição de polímero</w:t>
      </w:r>
      <w:r w:rsidR="007E7A89">
        <w:rPr>
          <w:rFonts w:cs="Arial"/>
          <w:szCs w:val="24"/>
        </w:rPr>
        <w:t>s pode</w:t>
      </w:r>
      <w:r w:rsidR="00091F2F">
        <w:rPr>
          <w:rFonts w:cs="Arial"/>
          <w:szCs w:val="24"/>
        </w:rPr>
        <w:t xml:space="preserve"> proporcionar reduções de arraste num patamar de cerca de 80</w:t>
      </w:r>
      <w:r w:rsidR="007E7A89" w:rsidRPr="007E7A89">
        <w:rPr>
          <w:rFonts w:cs="Arial"/>
          <w:szCs w:val="24"/>
        </w:rPr>
        <w:t>%.</w:t>
      </w:r>
    </w:p>
    <w:p w:rsidR="00921CDB" w:rsidRDefault="00762075" w:rsidP="00C75E31">
      <w:pPr>
        <w:rPr>
          <w:rFonts w:cs="Arial"/>
          <w:szCs w:val="24"/>
        </w:rPr>
      </w:pPr>
      <w:r>
        <w:rPr>
          <w:rFonts w:cs="Arial"/>
          <w:szCs w:val="24"/>
        </w:rPr>
        <w:t>Para a indústria petrolífera, inovações tecnológicas</w:t>
      </w:r>
      <w:r w:rsidRPr="00762075">
        <w:t xml:space="preserve"> </w:t>
      </w:r>
      <w:r w:rsidR="00F75DF8">
        <w:t xml:space="preserve">para a extração </w:t>
      </w:r>
      <w:r w:rsidRPr="00762075">
        <w:rPr>
          <w:rFonts w:cs="Arial"/>
          <w:szCs w:val="24"/>
        </w:rPr>
        <w:t xml:space="preserve">do óleo bruto </w:t>
      </w:r>
      <w:r>
        <w:rPr>
          <w:rFonts w:cs="Arial"/>
          <w:szCs w:val="24"/>
        </w:rPr>
        <w:t>são cada vez mais atrativas</w:t>
      </w:r>
      <w:r w:rsidRPr="00762075">
        <w:rPr>
          <w:rFonts w:cs="Arial"/>
          <w:szCs w:val="24"/>
        </w:rPr>
        <w:t>.</w:t>
      </w:r>
      <w:r>
        <w:rPr>
          <w:rFonts w:cs="Arial"/>
          <w:szCs w:val="24"/>
        </w:rPr>
        <w:t xml:space="preserve"> </w:t>
      </w:r>
      <w:r w:rsidR="00C00C5A" w:rsidRPr="00C00C5A">
        <w:rPr>
          <w:rFonts w:cs="Arial"/>
          <w:szCs w:val="24"/>
        </w:rPr>
        <w:t>Os hidrocarbonetos descobertos no pré-sal</w:t>
      </w:r>
      <w:r>
        <w:rPr>
          <w:rFonts w:cs="Arial"/>
          <w:szCs w:val="24"/>
        </w:rPr>
        <w:t>, por exemplo,</w:t>
      </w:r>
      <w:r w:rsidR="00C00C5A" w:rsidRPr="00C00C5A">
        <w:rPr>
          <w:rFonts w:cs="Arial"/>
          <w:szCs w:val="24"/>
        </w:rPr>
        <w:t xml:space="preserve"> representam a nova fronteira de</w:t>
      </w:r>
      <w:r w:rsidR="00C00C5A">
        <w:rPr>
          <w:rFonts w:cs="Arial"/>
          <w:szCs w:val="24"/>
        </w:rPr>
        <w:t xml:space="preserve"> </w:t>
      </w:r>
      <w:r w:rsidR="00C00C5A" w:rsidRPr="00C00C5A">
        <w:rPr>
          <w:rFonts w:cs="Arial"/>
          <w:szCs w:val="24"/>
        </w:rPr>
        <w:t>expansão da i</w:t>
      </w:r>
      <w:r w:rsidR="00F75DF8">
        <w:rPr>
          <w:rFonts w:cs="Arial"/>
          <w:szCs w:val="24"/>
        </w:rPr>
        <w:t>ndústria do petróleo no Brasil</w:t>
      </w:r>
      <w:r w:rsidR="00F75DF8" w:rsidRPr="000F7BD6">
        <w:rPr>
          <w:rFonts w:cs="Arial"/>
          <w:szCs w:val="24"/>
        </w:rPr>
        <w:t xml:space="preserve"> [</w:t>
      </w:r>
      <w:r w:rsidR="000F7BD6">
        <w:rPr>
          <w:rFonts w:cs="Arial"/>
          <w:szCs w:val="24"/>
        </w:rPr>
        <w:t>6</w:t>
      </w:r>
      <w:r w:rsidR="00F75DF8" w:rsidRPr="000F7BD6">
        <w:rPr>
          <w:rFonts w:cs="Arial"/>
          <w:szCs w:val="24"/>
        </w:rPr>
        <w:t>]</w:t>
      </w:r>
      <w:r>
        <w:rPr>
          <w:rFonts w:cs="Arial"/>
          <w:szCs w:val="24"/>
        </w:rPr>
        <w:t>. A camada p</w:t>
      </w:r>
      <w:r w:rsidR="00921CDB" w:rsidRPr="00762075">
        <w:rPr>
          <w:rFonts w:cs="Arial"/>
          <w:szCs w:val="24"/>
        </w:rPr>
        <w:t xml:space="preserve">ré-sal </w:t>
      </w:r>
      <w:r>
        <w:rPr>
          <w:rFonts w:cs="Arial"/>
          <w:szCs w:val="24"/>
        </w:rPr>
        <w:t xml:space="preserve">está </w:t>
      </w:r>
      <w:r w:rsidR="00921CDB" w:rsidRPr="00762075">
        <w:rPr>
          <w:rFonts w:cs="Arial"/>
          <w:szCs w:val="24"/>
        </w:rPr>
        <w:t>localizado cerca de 7 km do nível do m</w:t>
      </w:r>
      <w:r w:rsidRPr="00762075">
        <w:rPr>
          <w:rFonts w:cs="Arial"/>
          <w:szCs w:val="24"/>
        </w:rPr>
        <w:t>ar</w:t>
      </w:r>
      <w:r>
        <w:rPr>
          <w:rFonts w:cs="Arial"/>
          <w:szCs w:val="24"/>
        </w:rPr>
        <w:t>,</w:t>
      </w:r>
      <w:r w:rsidRPr="00762075">
        <w:rPr>
          <w:rFonts w:cs="Arial"/>
          <w:szCs w:val="24"/>
        </w:rPr>
        <w:t xml:space="preserve"> chegando à 2 km de espessura</w:t>
      </w:r>
      <w:r>
        <w:rPr>
          <w:rFonts w:cs="Arial"/>
          <w:szCs w:val="24"/>
        </w:rPr>
        <w:t>, contendo reservas</w:t>
      </w:r>
      <w:r w:rsidRPr="00762075">
        <w:rPr>
          <w:rFonts w:cs="Arial"/>
          <w:szCs w:val="24"/>
        </w:rPr>
        <w:t xml:space="preserve"> com</w:t>
      </w:r>
      <w:r w:rsidR="00921CDB" w:rsidRPr="00762075">
        <w:rPr>
          <w:rFonts w:cs="Arial"/>
          <w:szCs w:val="24"/>
        </w:rPr>
        <w:t xml:space="preserve"> uma área </w:t>
      </w:r>
      <w:r w:rsidRPr="00762075">
        <w:rPr>
          <w:rFonts w:cs="Arial"/>
          <w:szCs w:val="24"/>
        </w:rPr>
        <w:t xml:space="preserve">de </w:t>
      </w:r>
      <w:r w:rsidR="00921CDB" w:rsidRPr="00762075">
        <w:rPr>
          <w:rFonts w:cs="Arial"/>
          <w:szCs w:val="24"/>
        </w:rPr>
        <w:t xml:space="preserve">aproximadamente 800 km de extensão por 200 km de largura, no litoral entre os estados de </w:t>
      </w:r>
      <w:r w:rsidRPr="00762075">
        <w:rPr>
          <w:rFonts w:cs="Arial"/>
          <w:szCs w:val="24"/>
        </w:rPr>
        <w:t>Santa Catarina e Espírito Santo</w:t>
      </w:r>
      <w:r w:rsidR="008E2AA9">
        <w:rPr>
          <w:rFonts w:cs="Arial"/>
          <w:szCs w:val="24"/>
        </w:rPr>
        <w:t xml:space="preserve">. </w:t>
      </w:r>
      <w:r w:rsidR="00921CDB" w:rsidRPr="00762075">
        <w:rPr>
          <w:rFonts w:cs="Arial"/>
          <w:szCs w:val="24"/>
        </w:rPr>
        <w:t>No entanto</w:t>
      </w:r>
      <w:r w:rsidR="00F75DF8">
        <w:rPr>
          <w:rFonts w:cs="Arial"/>
          <w:szCs w:val="24"/>
        </w:rPr>
        <w:t>,</w:t>
      </w:r>
      <w:r w:rsidR="00921CDB" w:rsidRPr="00762075">
        <w:rPr>
          <w:rFonts w:cs="Arial"/>
          <w:szCs w:val="24"/>
        </w:rPr>
        <w:t xml:space="preserve"> como se pode imaginar</w:t>
      </w:r>
      <w:r w:rsidR="00F75DF8">
        <w:rPr>
          <w:rFonts w:cs="Arial"/>
          <w:szCs w:val="24"/>
        </w:rPr>
        <w:t>,</w:t>
      </w:r>
      <w:r w:rsidR="00921CDB" w:rsidRPr="00762075">
        <w:rPr>
          <w:rFonts w:cs="Arial"/>
          <w:szCs w:val="24"/>
        </w:rPr>
        <w:t xml:space="preserve"> o acesso a esta reserva </w:t>
      </w:r>
      <w:r w:rsidR="008E2AA9">
        <w:rPr>
          <w:rFonts w:cs="Arial"/>
          <w:szCs w:val="24"/>
        </w:rPr>
        <w:t xml:space="preserve">e a retirada de matérias prima são </w:t>
      </w:r>
      <w:r w:rsidR="008E2AA9" w:rsidRPr="00762075">
        <w:rPr>
          <w:rFonts w:cs="Arial"/>
          <w:szCs w:val="24"/>
        </w:rPr>
        <w:t>extremamente</w:t>
      </w:r>
      <w:r w:rsidR="00F75DF8">
        <w:rPr>
          <w:rFonts w:cs="Arial"/>
          <w:szCs w:val="24"/>
        </w:rPr>
        <w:t xml:space="preserve"> difíceis devido a sua localização mais profunda</w:t>
      </w:r>
      <w:r w:rsidR="00921CDB" w:rsidRPr="00762075">
        <w:rPr>
          <w:rFonts w:cs="Arial"/>
          <w:szCs w:val="24"/>
        </w:rPr>
        <w:t>.</w:t>
      </w:r>
      <w:r w:rsidR="008E2AA9">
        <w:rPr>
          <w:rFonts w:cs="Arial"/>
          <w:szCs w:val="24"/>
        </w:rPr>
        <w:t xml:space="preserve"> </w:t>
      </w:r>
      <w:r w:rsidR="008E2AA9" w:rsidRPr="008E2AA9">
        <w:rPr>
          <w:rFonts w:cs="Arial"/>
          <w:szCs w:val="24"/>
        </w:rPr>
        <w:t>No campo do bombeamento submarin</w:t>
      </w:r>
      <w:r w:rsidR="008E2AA9">
        <w:rPr>
          <w:rFonts w:cs="Arial"/>
          <w:szCs w:val="24"/>
        </w:rPr>
        <w:t xml:space="preserve">o esperam-se grandes avanços na </w:t>
      </w:r>
      <w:r w:rsidR="00491D21">
        <w:rPr>
          <w:rFonts w:cs="Arial"/>
          <w:szCs w:val="24"/>
        </w:rPr>
        <w:t>difusão d</w:t>
      </w:r>
      <w:r w:rsidR="008E2AA9" w:rsidRPr="008E2AA9">
        <w:rPr>
          <w:rFonts w:cs="Arial"/>
          <w:szCs w:val="24"/>
        </w:rPr>
        <w:t>as tecnologias</w:t>
      </w:r>
      <w:r w:rsidR="00491D21">
        <w:rPr>
          <w:rFonts w:cs="Arial"/>
          <w:szCs w:val="24"/>
        </w:rPr>
        <w:t xml:space="preserve"> de redução de arraste</w:t>
      </w:r>
      <w:r w:rsidR="008E2AA9" w:rsidRPr="008E2AA9">
        <w:rPr>
          <w:rFonts w:cs="Arial"/>
          <w:szCs w:val="24"/>
        </w:rPr>
        <w:t>.</w:t>
      </w:r>
    </w:p>
    <w:p w:rsidR="00DF6BA6" w:rsidRDefault="001A4081" w:rsidP="00921CDB">
      <w:pPr>
        <w:autoSpaceDE w:val="0"/>
        <w:autoSpaceDN w:val="0"/>
        <w:adjustRightInd w:val="0"/>
        <w:contextualSpacing w:val="0"/>
        <w:rPr>
          <w:rFonts w:cs="Arial"/>
          <w:szCs w:val="24"/>
        </w:rPr>
      </w:pPr>
      <w:r>
        <w:rPr>
          <w:rFonts w:cs="Arial"/>
          <w:szCs w:val="24"/>
        </w:rPr>
        <w:t>Apesar de n</w:t>
      </w:r>
      <w:r w:rsidRPr="001A4081">
        <w:rPr>
          <w:rFonts w:cs="Arial"/>
          <w:szCs w:val="24"/>
        </w:rPr>
        <w:t xml:space="preserve">o </w:t>
      </w:r>
      <w:r>
        <w:rPr>
          <w:rFonts w:cs="Arial"/>
          <w:szCs w:val="24"/>
        </w:rPr>
        <w:t xml:space="preserve">transporte </w:t>
      </w:r>
      <w:r w:rsidRPr="001A4081">
        <w:rPr>
          <w:rFonts w:cs="Arial"/>
          <w:szCs w:val="24"/>
        </w:rPr>
        <w:t xml:space="preserve">de longa distância </w:t>
      </w:r>
      <w:r>
        <w:rPr>
          <w:rFonts w:cs="Arial"/>
          <w:szCs w:val="24"/>
        </w:rPr>
        <w:t xml:space="preserve">via </w:t>
      </w:r>
      <w:r w:rsidRPr="001A4081">
        <w:rPr>
          <w:rFonts w:cs="Arial"/>
          <w:szCs w:val="24"/>
        </w:rPr>
        <w:t xml:space="preserve">dutos as perdas de </w:t>
      </w:r>
      <w:r w:rsidRPr="00EE68AA">
        <w:rPr>
          <w:rFonts w:cs="Arial"/>
          <w:szCs w:val="24"/>
        </w:rPr>
        <w:t>atrito poderem corresponder quase 100% da energia consumida para o processo [</w:t>
      </w:r>
      <w:r w:rsidR="00EE68AA" w:rsidRPr="00EE68AA">
        <w:rPr>
          <w:rFonts w:cs="Arial"/>
          <w:szCs w:val="24"/>
        </w:rPr>
        <w:t>7</w:t>
      </w:r>
      <w:r w:rsidR="00EB5B41" w:rsidRPr="00EE68AA">
        <w:rPr>
          <w:rFonts w:cs="Arial"/>
          <w:szCs w:val="24"/>
        </w:rPr>
        <w:t>]</w:t>
      </w:r>
      <w:r>
        <w:rPr>
          <w:rFonts w:cs="Arial"/>
          <w:szCs w:val="24"/>
        </w:rPr>
        <w:t xml:space="preserve">, as indústrias </w:t>
      </w:r>
      <w:r w:rsidRPr="001A4081">
        <w:rPr>
          <w:rFonts w:cs="Arial"/>
          <w:szCs w:val="24"/>
        </w:rPr>
        <w:t xml:space="preserve">petrolíferas em geral </w:t>
      </w:r>
      <w:r>
        <w:rPr>
          <w:rFonts w:cs="Arial"/>
          <w:szCs w:val="24"/>
        </w:rPr>
        <w:t>estão interessada</w:t>
      </w:r>
      <w:r w:rsidR="00BF4D80">
        <w:rPr>
          <w:rFonts w:cs="Arial"/>
          <w:szCs w:val="24"/>
        </w:rPr>
        <w:t>s</w:t>
      </w:r>
      <w:r>
        <w:rPr>
          <w:rFonts w:cs="Arial"/>
          <w:szCs w:val="24"/>
        </w:rPr>
        <w:t xml:space="preserve"> </w:t>
      </w:r>
      <w:r w:rsidRPr="001A4081">
        <w:rPr>
          <w:rFonts w:cs="Arial"/>
          <w:szCs w:val="24"/>
        </w:rPr>
        <w:t>nos</w:t>
      </w:r>
      <w:r>
        <w:rPr>
          <w:rFonts w:cs="Arial"/>
          <w:szCs w:val="24"/>
        </w:rPr>
        <w:t xml:space="preserve"> agentes redutores de arraste devido a </w:t>
      </w:r>
      <w:r w:rsidRPr="001A4081">
        <w:rPr>
          <w:rFonts w:cs="Arial"/>
          <w:szCs w:val="24"/>
        </w:rPr>
        <w:t xml:space="preserve">capacidade </w:t>
      </w:r>
      <w:r w:rsidR="00491D21">
        <w:rPr>
          <w:rFonts w:cs="Arial"/>
          <w:szCs w:val="24"/>
        </w:rPr>
        <w:t xml:space="preserve">aumento de vazão que pode ser obtida para uma mesma configuração de </w:t>
      </w:r>
      <w:r w:rsidRPr="001A4081">
        <w:rPr>
          <w:rFonts w:cs="Arial"/>
          <w:szCs w:val="24"/>
        </w:rPr>
        <w:t>o</w:t>
      </w:r>
      <w:r w:rsidR="00491D21">
        <w:rPr>
          <w:rFonts w:cs="Arial"/>
          <w:szCs w:val="24"/>
        </w:rPr>
        <w:t>peração (potência, rotação e pressão)</w:t>
      </w:r>
      <w:r w:rsidRPr="001A4081">
        <w:rPr>
          <w:rFonts w:cs="Arial"/>
          <w:szCs w:val="24"/>
        </w:rPr>
        <w:t xml:space="preserve">. Isto </w:t>
      </w:r>
      <w:r>
        <w:rPr>
          <w:rFonts w:cs="Arial"/>
          <w:szCs w:val="24"/>
        </w:rPr>
        <w:t xml:space="preserve">reflete em uma </w:t>
      </w:r>
      <w:r w:rsidRPr="001A4081">
        <w:rPr>
          <w:rFonts w:cs="Arial"/>
          <w:szCs w:val="24"/>
        </w:rPr>
        <w:t xml:space="preserve">quantidade maior de óleo </w:t>
      </w:r>
      <w:r>
        <w:rPr>
          <w:rFonts w:cs="Arial"/>
          <w:szCs w:val="24"/>
        </w:rPr>
        <w:t xml:space="preserve">transportado, gerando maior </w:t>
      </w:r>
      <w:r w:rsidRPr="001A4081">
        <w:rPr>
          <w:rFonts w:cs="Arial"/>
          <w:szCs w:val="24"/>
        </w:rPr>
        <w:t>lucro</w:t>
      </w:r>
      <w:r w:rsidR="00DF6BA6">
        <w:rPr>
          <w:rFonts w:cs="Arial"/>
          <w:szCs w:val="24"/>
        </w:rPr>
        <w:t>.</w:t>
      </w:r>
    </w:p>
    <w:p w:rsidR="00CF1DFD" w:rsidRPr="00EE68AA" w:rsidRDefault="00CF1DFD" w:rsidP="00921CDB">
      <w:pPr>
        <w:autoSpaceDE w:val="0"/>
        <w:autoSpaceDN w:val="0"/>
        <w:adjustRightInd w:val="0"/>
        <w:contextualSpacing w:val="0"/>
        <w:rPr>
          <w:rFonts w:cs="Arial"/>
          <w:szCs w:val="24"/>
        </w:rPr>
      </w:pPr>
      <w:r w:rsidRPr="00EE68AA">
        <w:rPr>
          <w:rFonts w:cs="Arial"/>
          <w:szCs w:val="24"/>
        </w:rPr>
        <w:lastRenderedPageBreak/>
        <w:t>Outra aplicação notável onde a redução de arraste possui um papel fundamental, é no aumento da vazão do jato d’água em mangueiras de combate a incêndio. A maior vazão obtida devido ao fenômeno aumenta o alcance da água, o que ajuda os bombeiros no exercício de sua função.</w:t>
      </w:r>
      <w:r w:rsidR="001D7C49" w:rsidRPr="00EE68AA">
        <w:rPr>
          <w:rFonts w:cs="Arial"/>
          <w:szCs w:val="24"/>
        </w:rPr>
        <w:t xml:space="preserve"> </w:t>
      </w:r>
      <w:r w:rsidR="006040DA" w:rsidRPr="00EE68AA">
        <w:rPr>
          <w:rFonts w:cs="Arial"/>
          <w:szCs w:val="24"/>
        </w:rPr>
        <w:t xml:space="preserve">A </w:t>
      </w:r>
      <w:r w:rsidR="006040DA" w:rsidRPr="00EE68AA">
        <w:rPr>
          <w:rFonts w:cs="Arial"/>
          <w:szCs w:val="24"/>
        </w:rPr>
        <w:fldChar w:fldCharType="begin"/>
      </w:r>
      <w:r w:rsidR="006040DA" w:rsidRPr="00EE68AA">
        <w:rPr>
          <w:rFonts w:cs="Arial"/>
          <w:szCs w:val="24"/>
        </w:rPr>
        <w:instrText xml:space="preserve"> REF _Ref488072424 \h </w:instrText>
      </w:r>
      <w:r w:rsidR="006040DA" w:rsidRPr="00EE68AA">
        <w:rPr>
          <w:rFonts w:cs="Arial"/>
          <w:szCs w:val="24"/>
        </w:rPr>
      </w:r>
      <w:r w:rsidR="006040DA" w:rsidRPr="00EE68AA">
        <w:rPr>
          <w:rFonts w:cs="Arial"/>
          <w:szCs w:val="24"/>
        </w:rPr>
        <w:fldChar w:fldCharType="separate"/>
      </w:r>
      <w:r w:rsidR="0051480C" w:rsidRPr="00EE68AA">
        <w:t xml:space="preserve">Figura </w:t>
      </w:r>
      <w:r w:rsidR="0051480C" w:rsidRPr="00EE68AA">
        <w:rPr>
          <w:noProof/>
        </w:rPr>
        <w:t>1</w:t>
      </w:r>
      <w:r w:rsidR="006040DA" w:rsidRPr="00EE68AA">
        <w:rPr>
          <w:rFonts w:cs="Arial"/>
          <w:szCs w:val="24"/>
        </w:rPr>
        <w:fldChar w:fldCharType="end"/>
      </w:r>
      <w:r w:rsidR="006040DA" w:rsidRPr="00EE68AA">
        <w:rPr>
          <w:rFonts w:cs="Arial"/>
          <w:szCs w:val="24"/>
        </w:rPr>
        <w:t xml:space="preserve"> é um registro de quando </w:t>
      </w:r>
      <w:r w:rsidRPr="00EE68AA">
        <w:rPr>
          <w:rFonts w:cs="Arial"/>
          <w:szCs w:val="24"/>
        </w:rPr>
        <w:t xml:space="preserve">bombeiros </w:t>
      </w:r>
      <w:r w:rsidR="006040DA" w:rsidRPr="00EE68AA">
        <w:rPr>
          <w:rFonts w:cs="Arial"/>
          <w:szCs w:val="24"/>
        </w:rPr>
        <w:t>de Nova York de</w:t>
      </w:r>
      <w:r w:rsidRPr="00EE68AA">
        <w:rPr>
          <w:rFonts w:cs="Arial"/>
          <w:szCs w:val="24"/>
        </w:rPr>
        <w:t>mo</w:t>
      </w:r>
      <w:r w:rsidR="006040DA" w:rsidRPr="00EE68AA">
        <w:rPr>
          <w:rFonts w:cs="Arial"/>
          <w:szCs w:val="24"/>
        </w:rPr>
        <w:t>n</w:t>
      </w:r>
      <w:r w:rsidRPr="00EE68AA">
        <w:rPr>
          <w:rFonts w:cs="Arial"/>
          <w:szCs w:val="24"/>
        </w:rPr>
        <w:t>straram a potencialidade do Efeito Toms (redução de arraste) para lançar água em maiores distâncias. No ensaio, a mesma bomba impulsiona através de duas mangueiras de mesmo comprimento e diâmetro, apenas água em uma delas, e agua contendo 30 ppm de p</w:t>
      </w:r>
      <w:r w:rsidR="001D7C49" w:rsidRPr="00EE68AA">
        <w:rPr>
          <w:rFonts w:cs="Arial"/>
          <w:szCs w:val="24"/>
        </w:rPr>
        <w:t>oli(óxido de etileno) em outra. [</w:t>
      </w:r>
      <w:r w:rsidR="00EE68AA" w:rsidRPr="00EE68AA">
        <w:rPr>
          <w:rFonts w:cs="Arial"/>
          <w:szCs w:val="24"/>
        </w:rPr>
        <w:t>2</w:t>
      </w:r>
      <w:r w:rsidR="001D7C49" w:rsidRPr="00EE68AA">
        <w:rPr>
          <w:rFonts w:cs="Arial"/>
          <w:szCs w:val="24"/>
        </w:rPr>
        <w:t>]</w:t>
      </w:r>
    </w:p>
    <w:p w:rsidR="00CF1DFD" w:rsidRPr="002855BE" w:rsidRDefault="00CF1DFD" w:rsidP="0051480C">
      <w:pPr>
        <w:pStyle w:val="Figura-PG"/>
      </w:pPr>
      <w:bookmarkStart w:id="7" w:name="_Ref488072424"/>
      <w:bookmarkStart w:id="8" w:name="_Toc488706042"/>
      <w:r w:rsidRPr="002855BE">
        <w:t xml:space="preserve">Figura </w:t>
      </w:r>
      <w:fldSimple w:instr=" SEQ Figura \* ARABIC ">
        <w:r w:rsidR="004C240D">
          <w:rPr>
            <w:noProof/>
          </w:rPr>
          <w:t>1</w:t>
        </w:r>
      </w:fldSimple>
      <w:bookmarkEnd w:id="7"/>
      <w:r w:rsidR="00450291">
        <w:rPr>
          <w:noProof/>
        </w:rPr>
        <w:t xml:space="preserve"> </w:t>
      </w:r>
      <w:r w:rsidR="00450291">
        <w:t xml:space="preserve">- </w:t>
      </w:r>
      <w:r w:rsidRPr="002855BE">
        <w:t>Ensaio realizado pelos bombeiros de Nova York, no final da década de 60, co</w:t>
      </w:r>
      <w:r w:rsidR="002D0953" w:rsidRPr="002855BE">
        <w:t>mparando jatos de água pura e jatos de água com a adição de 30 ppm de poli(óxido de etileno), ou PEO.</w:t>
      </w:r>
      <w:bookmarkEnd w:id="8"/>
    </w:p>
    <w:p w:rsidR="00CF1DFD" w:rsidRDefault="00CF1DFD" w:rsidP="0051480C">
      <w:pPr>
        <w:autoSpaceDE w:val="0"/>
        <w:autoSpaceDN w:val="0"/>
        <w:adjustRightInd w:val="0"/>
        <w:spacing w:after="0"/>
        <w:contextualSpacing w:val="0"/>
        <w:jc w:val="center"/>
        <w:rPr>
          <w:rFonts w:cs="Arial"/>
          <w:szCs w:val="24"/>
        </w:rPr>
      </w:pPr>
      <w:r>
        <w:rPr>
          <w:noProof/>
          <w:lang w:eastAsia="pt-BR"/>
        </w:rPr>
        <w:drawing>
          <wp:inline distT="0" distB="0" distL="0" distR="0" wp14:anchorId="08C78E0D" wp14:editId="1041B58A">
            <wp:extent cx="4962525" cy="2464757"/>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76961" cy="2471927"/>
                    </a:xfrm>
                    <a:prstGeom prst="rect">
                      <a:avLst/>
                    </a:prstGeom>
                  </pic:spPr>
                </pic:pic>
              </a:graphicData>
            </a:graphic>
          </wp:inline>
        </w:drawing>
      </w:r>
    </w:p>
    <w:p w:rsidR="0051480C" w:rsidRDefault="0051480C" w:rsidP="00CF1DFD">
      <w:pPr>
        <w:autoSpaceDE w:val="0"/>
        <w:autoSpaceDN w:val="0"/>
        <w:adjustRightInd w:val="0"/>
        <w:contextualSpacing w:val="0"/>
        <w:jc w:val="center"/>
        <w:rPr>
          <w:rFonts w:cs="Arial"/>
          <w:szCs w:val="24"/>
        </w:rPr>
      </w:pPr>
      <w:r>
        <w:rPr>
          <w:rFonts w:cs="Arial"/>
          <w:szCs w:val="24"/>
        </w:rPr>
        <w:t>Fonte: (</w:t>
      </w:r>
      <w:r w:rsidR="00CB0CA2" w:rsidRPr="00042813">
        <w:rPr>
          <w:rFonts w:cs="Arial"/>
          <w:szCs w:val="24"/>
        </w:rPr>
        <w:t xml:space="preserve">BIZOTTO </w:t>
      </w:r>
      <w:r w:rsidRPr="00042813">
        <w:rPr>
          <w:rFonts w:cs="Arial"/>
          <w:szCs w:val="24"/>
        </w:rPr>
        <w:t xml:space="preserve">e </w:t>
      </w:r>
      <w:r w:rsidR="00CB0CA2" w:rsidRPr="00042813">
        <w:rPr>
          <w:rFonts w:cs="Arial"/>
          <w:szCs w:val="24"/>
        </w:rPr>
        <w:t>SABADINI</w:t>
      </w:r>
      <w:r>
        <w:rPr>
          <w:rFonts w:cs="Arial"/>
          <w:szCs w:val="24"/>
        </w:rPr>
        <w:t>, 2010)</w:t>
      </w:r>
    </w:p>
    <w:p w:rsidR="001A4081" w:rsidRDefault="00DF6BA6" w:rsidP="00921CDB">
      <w:pPr>
        <w:autoSpaceDE w:val="0"/>
        <w:autoSpaceDN w:val="0"/>
        <w:adjustRightInd w:val="0"/>
        <w:contextualSpacing w:val="0"/>
      </w:pPr>
      <w:r>
        <w:rPr>
          <w:rFonts w:cs="Arial"/>
          <w:szCs w:val="24"/>
        </w:rPr>
        <w:t>Nas demais possibilidades de aplicação</w:t>
      </w:r>
      <w:r w:rsidR="004C40DE">
        <w:rPr>
          <w:rFonts w:cs="Arial"/>
          <w:szCs w:val="24"/>
        </w:rPr>
        <w:t xml:space="preserve"> onde não se deseja maximizar a vazão</w:t>
      </w:r>
      <w:r>
        <w:rPr>
          <w:rFonts w:cs="Arial"/>
          <w:szCs w:val="24"/>
        </w:rPr>
        <w:t>,</w:t>
      </w:r>
      <w:r w:rsidR="004C40DE">
        <w:rPr>
          <w:rFonts w:cs="Arial"/>
          <w:szCs w:val="24"/>
        </w:rPr>
        <w:t xml:space="preserve"> mas otimizar a execução de um processo já parametrizado, </w:t>
      </w:r>
      <w:r>
        <w:rPr>
          <w:rFonts w:cs="Arial"/>
          <w:szCs w:val="24"/>
        </w:rPr>
        <w:t>uma vantagem</w:t>
      </w:r>
      <w:r w:rsidR="001A4081" w:rsidRPr="001A4081">
        <w:rPr>
          <w:rFonts w:cs="Arial"/>
          <w:szCs w:val="24"/>
        </w:rPr>
        <w:t xml:space="preserve"> é a </w:t>
      </w:r>
      <w:r>
        <w:rPr>
          <w:rFonts w:cs="Arial"/>
          <w:szCs w:val="24"/>
        </w:rPr>
        <w:t xml:space="preserve">economia de potência demandada para uma mesma vazão, refletindo diretamente em uma economia de energia consumida. Todavia, </w:t>
      </w:r>
      <w:r w:rsidR="00534C09">
        <w:rPr>
          <w:rFonts w:cs="Arial"/>
          <w:szCs w:val="24"/>
        </w:rPr>
        <w:t xml:space="preserve">para a instalação e utilização de um </w:t>
      </w:r>
      <w:r w:rsidR="00491D21">
        <w:rPr>
          <w:rFonts w:cs="Arial"/>
          <w:szCs w:val="24"/>
        </w:rPr>
        <w:t xml:space="preserve">dispositivo de injeção </w:t>
      </w:r>
      <w:r w:rsidR="00534C09">
        <w:rPr>
          <w:rFonts w:cs="Arial"/>
          <w:szCs w:val="24"/>
        </w:rPr>
        <w:t>que promova a redução de arraste, existem custos fixos e variáveis inerentes que, dependendo da redução de arraste obtida, superam a economia com a redução de potência demandada, inviabilizando a sua utilização.</w:t>
      </w:r>
      <w:r w:rsidR="00534C09" w:rsidRPr="00534C09">
        <w:t xml:space="preserve"> </w:t>
      </w:r>
      <w:r w:rsidR="003B3436">
        <w:t>A motivação em realizar uma análise da viabilidade econômica surge para evitar que investimentos sejam realizados em projetos que não tragam rentabilidade e para verificar se o projeto satisfaz os critérios de taxa mínima de atratividade de empresas que desejam inve</w:t>
      </w:r>
      <w:r w:rsidR="002D0953">
        <w:t>stir em inovações tecnológicas.</w:t>
      </w:r>
    </w:p>
    <w:p w:rsidR="002D0953" w:rsidRDefault="002D0953" w:rsidP="00921CDB">
      <w:pPr>
        <w:autoSpaceDE w:val="0"/>
        <w:autoSpaceDN w:val="0"/>
        <w:adjustRightInd w:val="0"/>
        <w:contextualSpacing w:val="0"/>
        <w:rPr>
          <w:rFonts w:cs="Arial"/>
          <w:szCs w:val="24"/>
        </w:rPr>
      </w:pPr>
    </w:p>
    <w:p w:rsidR="003B3436" w:rsidRDefault="003B3436" w:rsidP="00613678">
      <w:pPr>
        <w:pStyle w:val="Nvel2-PG"/>
      </w:pPr>
      <w:bookmarkStart w:id="9" w:name="_Toc488678324"/>
      <w:r w:rsidRPr="00BB7C1B">
        <w:lastRenderedPageBreak/>
        <w:t>1</w:t>
      </w:r>
      <w:r>
        <w:t>.2</w:t>
      </w:r>
      <w:r w:rsidRPr="00BB7C1B">
        <w:t xml:space="preserve"> </w:t>
      </w:r>
      <w:r>
        <w:t>Estado da Arte</w:t>
      </w:r>
      <w:bookmarkEnd w:id="9"/>
    </w:p>
    <w:p w:rsidR="00783619" w:rsidRDefault="007E6B21" w:rsidP="007E6B21">
      <w:pPr>
        <w:autoSpaceDE w:val="0"/>
        <w:autoSpaceDN w:val="0"/>
        <w:adjustRightInd w:val="0"/>
        <w:contextualSpacing w:val="0"/>
        <w:rPr>
          <w:rFonts w:cs="Arial"/>
          <w:szCs w:val="24"/>
        </w:rPr>
      </w:pPr>
      <w:r>
        <w:rPr>
          <w:rFonts w:cs="Arial"/>
          <w:szCs w:val="24"/>
        </w:rPr>
        <w:t xml:space="preserve">De acordo com </w:t>
      </w:r>
      <w:r w:rsidR="00EE68AA" w:rsidRPr="00EE68AA">
        <w:rPr>
          <w:rFonts w:cs="Arial"/>
          <w:szCs w:val="24"/>
        </w:rPr>
        <w:t>[8</w:t>
      </w:r>
      <w:r w:rsidRPr="00EE68AA">
        <w:rPr>
          <w:rFonts w:cs="Arial"/>
          <w:szCs w:val="24"/>
        </w:rPr>
        <w:t>]</w:t>
      </w:r>
      <w:r>
        <w:rPr>
          <w:rFonts w:cs="Arial"/>
          <w:szCs w:val="24"/>
        </w:rPr>
        <w:t xml:space="preserve">, Forrest </w:t>
      </w:r>
      <w:r w:rsidR="007D04AD">
        <w:rPr>
          <w:rFonts w:cs="Arial"/>
          <w:szCs w:val="24"/>
        </w:rPr>
        <w:t xml:space="preserve">e Grierson (1931) identificaram, pela primeira vez, </w:t>
      </w:r>
      <w:r>
        <w:rPr>
          <w:rFonts w:cs="Arial"/>
          <w:szCs w:val="24"/>
        </w:rPr>
        <w:t>um</w:t>
      </w:r>
      <w:r w:rsidR="00613678" w:rsidRPr="00613678">
        <w:rPr>
          <w:rFonts w:cs="Arial"/>
          <w:szCs w:val="24"/>
        </w:rPr>
        <w:t>a</w:t>
      </w:r>
      <w:r w:rsidR="00613678">
        <w:rPr>
          <w:rFonts w:cs="Arial"/>
          <w:szCs w:val="24"/>
        </w:rPr>
        <w:t xml:space="preserve"> redução da perda de energia em </w:t>
      </w:r>
      <w:r w:rsidR="00613678" w:rsidRPr="00613678">
        <w:rPr>
          <w:rFonts w:cs="Arial"/>
          <w:szCs w:val="24"/>
        </w:rPr>
        <w:t>um escoamento turbulento de á</w:t>
      </w:r>
      <w:r>
        <w:rPr>
          <w:rFonts w:cs="Arial"/>
          <w:szCs w:val="24"/>
        </w:rPr>
        <w:t>gua com fibra de celulose. Todavia</w:t>
      </w:r>
      <w:r w:rsidR="00A2288C">
        <w:rPr>
          <w:rFonts w:cs="Arial"/>
          <w:szCs w:val="24"/>
        </w:rPr>
        <w:t>,</w:t>
      </w:r>
      <w:r w:rsidR="00613678" w:rsidRPr="00613678">
        <w:rPr>
          <w:rFonts w:cs="Arial"/>
          <w:szCs w:val="24"/>
        </w:rPr>
        <w:t xml:space="preserve"> </w:t>
      </w:r>
      <w:r w:rsidRPr="007E6B21">
        <w:rPr>
          <w:rFonts w:cs="Arial"/>
          <w:szCs w:val="24"/>
        </w:rPr>
        <w:t xml:space="preserve">o </w:t>
      </w:r>
      <w:r>
        <w:rPr>
          <w:rFonts w:cs="Arial"/>
          <w:szCs w:val="24"/>
        </w:rPr>
        <w:t xml:space="preserve">efeito só foi estudado pela primeira vez em 1948 por meio do </w:t>
      </w:r>
      <w:r w:rsidRPr="007E6B21">
        <w:rPr>
          <w:rFonts w:cs="Arial"/>
          <w:szCs w:val="24"/>
        </w:rPr>
        <w:t xml:space="preserve">experimento realizado </w:t>
      </w:r>
      <w:r>
        <w:rPr>
          <w:rFonts w:cs="Arial"/>
          <w:szCs w:val="24"/>
        </w:rPr>
        <w:t>por</w:t>
      </w:r>
      <w:r w:rsidRPr="00BA1FB9">
        <w:rPr>
          <w:rFonts w:cs="Arial"/>
          <w:szCs w:val="24"/>
        </w:rPr>
        <w:t xml:space="preserve"> </w:t>
      </w:r>
      <w:r w:rsidR="00BA1FB9" w:rsidRPr="00BA1FB9">
        <w:rPr>
          <w:rFonts w:cs="Arial"/>
          <w:szCs w:val="24"/>
        </w:rPr>
        <w:t>[9</w:t>
      </w:r>
      <w:r w:rsidRPr="00BA1FB9">
        <w:rPr>
          <w:rFonts w:cs="Arial"/>
          <w:szCs w:val="24"/>
        </w:rPr>
        <w:t xml:space="preserve">] </w:t>
      </w:r>
      <w:r>
        <w:rPr>
          <w:rFonts w:cs="Arial"/>
          <w:szCs w:val="24"/>
        </w:rPr>
        <w:t>que o fenômeno ganhou visibilidade na comunidade científica</w:t>
      </w:r>
      <w:r w:rsidRPr="007E6B21">
        <w:rPr>
          <w:rFonts w:cs="Arial"/>
          <w:szCs w:val="24"/>
        </w:rPr>
        <w:t xml:space="preserve">. Toms </w:t>
      </w:r>
      <w:r>
        <w:rPr>
          <w:rFonts w:cs="Arial"/>
          <w:szCs w:val="24"/>
        </w:rPr>
        <w:t>estudou</w:t>
      </w:r>
      <w:r w:rsidRPr="007E6B21">
        <w:rPr>
          <w:rFonts w:cs="Arial"/>
          <w:szCs w:val="24"/>
        </w:rPr>
        <w:t xml:space="preserve"> o</w:t>
      </w:r>
      <w:r>
        <w:rPr>
          <w:rFonts w:cs="Arial"/>
          <w:szCs w:val="24"/>
        </w:rPr>
        <w:t xml:space="preserve"> comportamento do escoamento para </w:t>
      </w:r>
      <w:r w:rsidRPr="007E6B21">
        <w:rPr>
          <w:rFonts w:cs="Arial"/>
          <w:szCs w:val="24"/>
        </w:rPr>
        <w:t xml:space="preserve">soluções </w:t>
      </w:r>
      <w:r>
        <w:rPr>
          <w:rFonts w:cs="Arial"/>
          <w:szCs w:val="24"/>
        </w:rPr>
        <w:t>aditivadas com polímeros</w:t>
      </w:r>
      <w:r w:rsidRPr="007E6B21">
        <w:rPr>
          <w:rFonts w:cs="Arial"/>
          <w:szCs w:val="24"/>
        </w:rPr>
        <w:t xml:space="preserve"> de alto peso molecular, </w:t>
      </w:r>
      <w:r>
        <w:rPr>
          <w:rFonts w:cs="Arial"/>
          <w:szCs w:val="24"/>
        </w:rPr>
        <w:t xml:space="preserve">em concentrações na ordem de ppm para altos números de Reynolds. Foi identificado que, </w:t>
      </w:r>
      <w:r w:rsidR="00223E76">
        <w:rPr>
          <w:rFonts w:cs="Arial"/>
          <w:szCs w:val="24"/>
        </w:rPr>
        <w:t xml:space="preserve">quando fixado o </w:t>
      </w:r>
      <w:r w:rsidRPr="007E6B21">
        <w:rPr>
          <w:rFonts w:cs="Arial"/>
          <w:szCs w:val="24"/>
        </w:rPr>
        <w:t>gradiente de pressão</w:t>
      </w:r>
      <w:r>
        <w:rPr>
          <w:rFonts w:cs="Arial"/>
          <w:szCs w:val="24"/>
        </w:rPr>
        <w:t>, a vazão aumentava e</w:t>
      </w:r>
      <w:r w:rsidR="00223E76">
        <w:rPr>
          <w:rFonts w:cs="Arial"/>
          <w:szCs w:val="24"/>
        </w:rPr>
        <w:t>,</w:t>
      </w:r>
      <w:r>
        <w:rPr>
          <w:rFonts w:cs="Arial"/>
          <w:szCs w:val="24"/>
        </w:rPr>
        <w:t xml:space="preserve"> </w:t>
      </w:r>
      <w:r w:rsidR="00223E76">
        <w:rPr>
          <w:rFonts w:cs="Arial"/>
          <w:szCs w:val="24"/>
        </w:rPr>
        <w:t xml:space="preserve">quando fixada a vazão, </w:t>
      </w:r>
      <w:r>
        <w:rPr>
          <w:rFonts w:cs="Arial"/>
          <w:szCs w:val="24"/>
        </w:rPr>
        <w:t xml:space="preserve">a </w:t>
      </w:r>
      <w:r w:rsidRPr="007E6B21">
        <w:rPr>
          <w:rFonts w:cs="Arial"/>
          <w:szCs w:val="24"/>
        </w:rPr>
        <w:t>queda de pre</w:t>
      </w:r>
      <w:r>
        <w:rPr>
          <w:rFonts w:cs="Arial"/>
          <w:szCs w:val="24"/>
        </w:rPr>
        <w:t xml:space="preserve">ssão </w:t>
      </w:r>
      <w:r w:rsidR="00223E76">
        <w:rPr>
          <w:rFonts w:cs="Arial"/>
          <w:szCs w:val="24"/>
        </w:rPr>
        <w:t xml:space="preserve">diminuía nesses escoamentos com </w:t>
      </w:r>
      <w:r w:rsidRPr="007E6B21">
        <w:rPr>
          <w:rFonts w:cs="Arial"/>
          <w:szCs w:val="24"/>
        </w:rPr>
        <w:t xml:space="preserve">as soluções </w:t>
      </w:r>
      <w:r w:rsidR="00223E76">
        <w:rPr>
          <w:rFonts w:cs="Arial"/>
          <w:szCs w:val="24"/>
        </w:rPr>
        <w:t>aditivadas</w:t>
      </w:r>
      <w:r w:rsidRPr="007E6B21">
        <w:rPr>
          <w:rFonts w:cs="Arial"/>
          <w:szCs w:val="24"/>
        </w:rPr>
        <w:t>,</w:t>
      </w:r>
      <w:r w:rsidR="00223E76">
        <w:rPr>
          <w:rFonts w:cs="Arial"/>
          <w:szCs w:val="24"/>
        </w:rPr>
        <w:t xml:space="preserve"> se </w:t>
      </w:r>
      <w:r>
        <w:rPr>
          <w:rFonts w:cs="Arial"/>
          <w:szCs w:val="24"/>
        </w:rPr>
        <w:t>comparadas ao solvente puro</w:t>
      </w:r>
      <w:r w:rsidR="00223E76">
        <w:rPr>
          <w:rFonts w:cs="Arial"/>
          <w:szCs w:val="24"/>
        </w:rPr>
        <w:t xml:space="preserve">. </w:t>
      </w:r>
      <w:r w:rsidRPr="007E6B21">
        <w:rPr>
          <w:rFonts w:cs="Arial"/>
          <w:szCs w:val="24"/>
        </w:rPr>
        <w:t>Esse efeito ficou conh</w:t>
      </w:r>
      <w:r w:rsidR="00223E76">
        <w:rPr>
          <w:rFonts w:cs="Arial"/>
          <w:szCs w:val="24"/>
        </w:rPr>
        <w:t>ecido como o fenômeno de Toms.</w:t>
      </w:r>
    </w:p>
    <w:p w:rsidR="005C12D3" w:rsidRDefault="005C12D3" w:rsidP="007E6B21">
      <w:pPr>
        <w:autoSpaceDE w:val="0"/>
        <w:autoSpaceDN w:val="0"/>
        <w:adjustRightInd w:val="0"/>
        <w:contextualSpacing w:val="0"/>
        <w:rPr>
          <w:rFonts w:cs="Arial"/>
          <w:szCs w:val="24"/>
        </w:rPr>
      </w:pPr>
      <w:r w:rsidRPr="00BA1FB9">
        <w:rPr>
          <w:rFonts w:cs="Arial"/>
          <w:szCs w:val="24"/>
        </w:rPr>
        <w:t xml:space="preserve">Em 1960 foi observado que a goma guar era capaz de produzir o mesmo efeito em soluções aquosas </w:t>
      </w:r>
      <w:r w:rsidR="008B4C3E" w:rsidRPr="00BA1FB9">
        <w:rPr>
          <w:rFonts w:cs="Arial"/>
          <w:szCs w:val="24"/>
        </w:rPr>
        <w:t>[10]</w:t>
      </w:r>
      <w:r w:rsidRPr="00BA1FB9">
        <w:rPr>
          <w:rFonts w:cs="Arial"/>
          <w:szCs w:val="24"/>
        </w:rPr>
        <w:t xml:space="preserve">. Tendo isso em vista, foi realizada a primeira aplicação de gomas em misturas de areia e água para perfuração de poços de petróleo </w:t>
      </w:r>
      <w:r w:rsidR="00BA1FB9">
        <w:rPr>
          <w:rFonts w:cs="Arial"/>
          <w:szCs w:val="24"/>
        </w:rPr>
        <w:t>[2</w:t>
      </w:r>
      <w:r w:rsidRPr="00BA1FB9">
        <w:rPr>
          <w:rFonts w:cs="Arial"/>
          <w:szCs w:val="24"/>
        </w:rPr>
        <w:t>]</w:t>
      </w:r>
      <w:r>
        <w:rPr>
          <w:rFonts w:cs="Arial"/>
          <w:szCs w:val="24"/>
        </w:rPr>
        <w:t>.</w:t>
      </w:r>
    </w:p>
    <w:p w:rsidR="004C40DE" w:rsidRDefault="00223E76" w:rsidP="007E6B21">
      <w:pPr>
        <w:autoSpaceDE w:val="0"/>
        <w:autoSpaceDN w:val="0"/>
        <w:adjustRightInd w:val="0"/>
        <w:contextualSpacing w:val="0"/>
        <w:rPr>
          <w:rFonts w:cs="Arial"/>
          <w:szCs w:val="24"/>
        </w:rPr>
      </w:pPr>
      <w:r w:rsidRPr="00BA1FB9">
        <w:rPr>
          <w:rFonts w:cs="Arial"/>
          <w:szCs w:val="24"/>
        </w:rPr>
        <w:t xml:space="preserve">Em </w:t>
      </w:r>
      <w:r w:rsidR="007E6B21" w:rsidRPr="00BA1FB9">
        <w:rPr>
          <w:rFonts w:cs="Arial"/>
          <w:szCs w:val="24"/>
        </w:rPr>
        <w:t xml:space="preserve">1964, </w:t>
      </w:r>
      <w:r w:rsidR="00BA1FB9" w:rsidRPr="00BA1FB9">
        <w:rPr>
          <w:rFonts w:cs="Arial"/>
          <w:szCs w:val="24"/>
        </w:rPr>
        <w:t>Savin</w:t>
      </w:r>
      <w:r w:rsidR="004C40DE" w:rsidRPr="00BA1FB9">
        <w:rPr>
          <w:rFonts w:cs="Arial"/>
          <w:szCs w:val="24"/>
        </w:rPr>
        <w:t xml:space="preserve">s </w:t>
      </w:r>
      <w:r w:rsidR="00BA1FB9" w:rsidRPr="00BA1FB9">
        <w:rPr>
          <w:rFonts w:cs="Arial"/>
          <w:szCs w:val="24"/>
        </w:rPr>
        <w:t>[11</w:t>
      </w:r>
      <w:r w:rsidR="006229CA" w:rsidRPr="00BA1FB9">
        <w:rPr>
          <w:rFonts w:cs="Arial"/>
          <w:szCs w:val="24"/>
        </w:rPr>
        <w:t xml:space="preserve">] atribuiu o termo </w:t>
      </w:r>
      <w:r w:rsidR="007E6B21" w:rsidRPr="00BA1FB9">
        <w:rPr>
          <w:rFonts w:cs="Arial"/>
          <w:szCs w:val="24"/>
        </w:rPr>
        <w:t>redução de arraste</w:t>
      </w:r>
      <w:r w:rsidR="006229CA" w:rsidRPr="00BA1FB9">
        <w:rPr>
          <w:rFonts w:cs="Arial"/>
          <w:szCs w:val="24"/>
        </w:rPr>
        <w:t xml:space="preserve"> ao fenômeno</w:t>
      </w:r>
      <w:r w:rsidR="004C40DE" w:rsidRPr="00BA1FB9">
        <w:rPr>
          <w:rFonts w:cs="Arial"/>
          <w:szCs w:val="24"/>
        </w:rPr>
        <w:t xml:space="preserve">, sendo o </w:t>
      </w:r>
      <w:r w:rsidR="004C40DE">
        <w:rPr>
          <w:rFonts w:cs="Arial"/>
          <w:szCs w:val="24"/>
        </w:rPr>
        <w:t xml:space="preserve">primeiro a defini-lo, baseando-se na queda pressão </w:t>
      </w:r>
      <w:r w:rsidR="00F33D62">
        <w:rPr>
          <w:rFonts w:cs="Arial"/>
          <w:szCs w:val="24"/>
        </w:rPr>
        <w:t xml:space="preserve">obtida por meio da solução </w:t>
      </w:r>
      <w:r w:rsidR="00F33D62" w:rsidRPr="007D04AD">
        <w:rPr>
          <w:rFonts w:cs="Arial"/>
          <w:szCs w:val="24"/>
        </w:rPr>
        <w:t>aditivada em relação à queda de pressão do solvente puro</w:t>
      </w:r>
      <w:r w:rsidR="004C40DE" w:rsidRPr="007D04AD">
        <w:rPr>
          <w:rFonts w:cs="Arial"/>
          <w:szCs w:val="24"/>
        </w:rPr>
        <w:t xml:space="preserve">. A </w:t>
      </w:r>
      <w:r w:rsidR="006040DA" w:rsidRPr="007D04AD">
        <w:rPr>
          <w:rFonts w:cs="Arial"/>
          <w:szCs w:val="24"/>
        </w:rPr>
        <w:fldChar w:fldCharType="begin"/>
      </w:r>
      <w:r w:rsidR="006040DA" w:rsidRPr="007D04AD">
        <w:rPr>
          <w:rFonts w:cs="Arial"/>
          <w:szCs w:val="24"/>
        </w:rPr>
        <w:instrText xml:space="preserve"> REF _Ref488072625 \h </w:instrText>
      </w:r>
      <w:r w:rsidR="006040DA" w:rsidRPr="007D04AD">
        <w:rPr>
          <w:rFonts w:cs="Arial"/>
          <w:szCs w:val="24"/>
        </w:rPr>
      </w:r>
      <w:r w:rsidR="006040DA" w:rsidRPr="007D04AD">
        <w:rPr>
          <w:rFonts w:cs="Arial"/>
          <w:szCs w:val="24"/>
        </w:rPr>
        <w:fldChar w:fldCharType="separate"/>
      </w:r>
      <w:r w:rsidR="00380A8E" w:rsidRPr="007D04AD">
        <w:t xml:space="preserve">Equação </w:t>
      </w:r>
      <w:r w:rsidR="00380A8E" w:rsidRPr="007D04AD">
        <w:rPr>
          <w:noProof/>
        </w:rPr>
        <w:t>1</w:t>
      </w:r>
      <w:r w:rsidR="006040DA" w:rsidRPr="007D04AD">
        <w:rPr>
          <w:rFonts w:cs="Arial"/>
          <w:szCs w:val="24"/>
        </w:rPr>
        <w:fldChar w:fldCharType="end"/>
      </w:r>
      <w:r w:rsidR="006040DA" w:rsidRPr="007D04AD">
        <w:rPr>
          <w:rFonts w:cs="Arial"/>
          <w:szCs w:val="24"/>
        </w:rPr>
        <w:t xml:space="preserve"> </w:t>
      </w:r>
      <w:r w:rsidR="004C40DE" w:rsidRPr="007D04AD">
        <w:rPr>
          <w:rFonts w:cs="Arial"/>
          <w:szCs w:val="24"/>
        </w:rPr>
        <w:t xml:space="preserve">apresenta </w:t>
      </w:r>
      <w:r w:rsidR="004C40DE">
        <w:rPr>
          <w:rFonts w:cs="Arial"/>
          <w:szCs w:val="24"/>
        </w:rPr>
        <w:t xml:space="preserve">este conceito, onde </w:t>
      </w:r>
      <m:oMath>
        <m:r>
          <w:rPr>
            <w:rFonts w:ascii="Cambria Math" w:hAnsi="Cambria Math" w:cs="Arial"/>
            <w:szCs w:val="24"/>
          </w:rPr>
          <m:t>∆P</m:t>
        </m:r>
      </m:oMath>
      <w:r w:rsidR="004C40DE">
        <w:rPr>
          <w:rFonts w:eastAsiaTheme="minorEastAsia" w:cs="Arial"/>
          <w:szCs w:val="24"/>
        </w:rPr>
        <w:t xml:space="preserve"> repr</w:t>
      </w:r>
      <w:r w:rsidR="00F33D62">
        <w:rPr>
          <w:rFonts w:eastAsiaTheme="minorEastAsia" w:cs="Arial"/>
          <w:szCs w:val="24"/>
        </w:rPr>
        <w:t xml:space="preserve">esenta a queda de pressão da solução, enquanto </w:t>
      </w:r>
      <m:oMath>
        <m:sSub>
          <m:sSubPr>
            <m:ctrlPr>
              <w:rPr>
                <w:rFonts w:ascii="Cambria Math" w:hAnsi="Cambria Math" w:cs="Arial"/>
                <w:i/>
                <w:szCs w:val="24"/>
              </w:rPr>
            </m:ctrlPr>
          </m:sSubPr>
          <m:e>
            <m:r>
              <w:rPr>
                <w:rFonts w:ascii="Cambria Math" w:hAnsi="Cambria Math" w:cs="Arial"/>
                <w:szCs w:val="24"/>
              </w:rPr>
              <m:t>∆P</m:t>
            </m:r>
          </m:e>
          <m:sub>
            <m:r>
              <w:rPr>
                <w:rFonts w:ascii="Cambria Math" w:hAnsi="Cambria Math" w:cs="Arial"/>
                <w:szCs w:val="24"/>
              </w:rPr>
              <m:t>o</m:t>
            </m:r>
          </m:sub>
        </m:sSub>
      </m:oMath>
      <w:r w:rsidR="00F33D62">
        <w:rPr>
          <w:rFonts w:eastAsiaTheme="minorEastAsia" w:cs="Arial"/>
          <w:szCs w:val="24"/>
        </w:rPr>
        <w:t xml:space="preserve"> representa a queda de pressão observada para o solvente puro.</w:t>
      </w:r>
    </w:p>
    <w:tbl>
      <w:tblPr>
        <w:tblStyle w:val="Tabelacomgrade"/>
        <w:tblW w:w="0" w:type="auto"/>
        <w:tblCellMar>
          <w:left w:w="0" w:type="dxa"/>
          <w:right w:w="0" w:type="dxa"/>
        </w:tblCellMar>
        <w:tblLook w:val="04A0" w:firstRow="1" w:lastRow="0" w:firstColumn="1" w:lastColumn="0" w:noHBand="0" w:noVBand="1"/>
      </w:tblPr>
      <w:tblGrid>
        <w:gridCol w:w="8395"/>
        <w:gridCol w:w="676"/>
      </w:tblGrid>
      <w:tr w:rsidR="00F33D62" w:rsidTr="00F33D62">
        <w:tc>
          <w:tcPr>
            <w:tcW w:w="8395" w:type="dxa"/>
            <w:tcBorders>
              <w:top w:val="nil"/>
              <w:left w:val="nil"/>
              <w:bottom w:val="nil"/>
              <w:right w:val="nil"/>
            </w:tcBorders>
            <w:vAlign w:val="center"/>
          </w:tcPr>
          <w:p w:rsidR="00F33D62" w:rsidRPr="006040DA" w:rsidRDefault="00F33D62" w:rsidP="006040DA">
            <w:pPr>
              <w:autoSpaceDE w:val="0"/>
              <w:autoSpaceDN w:val="0"/>
              <w:adjustRightInd w:val="0"/>
              <w:spacing w:after="0" w:line="240" w:lineRule="auto"/>
              <w:contextualSpacing w:val="0"/>
              <w:jc w:val="center"/>
              <w:rPr>
                <w:rFonts w:cs="Arial"/>
                <w:szCs w:val="24"/>
                <w:lang w:val="en-US"/>
              </w:rPr>
            </w:pPr>
            <m:oMathPara>
              <m:oMath>
                <m:r>
                  <w:rPr>
                    <w:rFonts w:ascii="Cambria Math" w:hAnsi="Cambria Math" w:cs="Arial"/>
                    <w:szCs w:val="24"/>
                    <w:lang w:val="en-US"/>
                  </w:rPr>
                  <m:t>%</m:t>
                </m:r>
                <m:r>
                  <w:rPr>
                    <w:rFonts w:ascii="Cambria Math" w:hAnsi="Cambria Math" w:cs="Arial"/>
                    <w:szCs w:val="24"/>
                  </w:rPr>
                  <m:t>DR</m:t>
                </m:r>
                <m:r>
                  <w:rPr>
                    <w:rFonts w:ascii="Cambria Math" w:hAnsi="Cambria Math" w:cs="Arial"/>
                    <w:szCs w:val="24"/>
                    <w:lang w:val="en-US"/>
                  </w:rPr>
                  <m:t>=</m:t>
                </m:r>
                <m:d>
                  <m:dPr>
                    <m:ctrlPr>
                      <w:rPr>
                        <w:rFonts w:ascii="Cambria Math" w:hAnsi="Cambria Math" w:cs="Arial"/>
                        <w:i/>
                        <w:szCs w:val="24"/>
                      </w:rPr>
                    </m:ctrlPr>
                  </m:dPr>
                  <m:e>
                    <m:r>
                      <w:rPr>
                        <w:rFonts w:ascii="Cambria Math" w:hAnsi="Cambria Math" w:cs="Arial"/>
                        <w:szCs w:val="24"/>
                        <w:lang w:val="en-US"/>
                      </w:rPr>
                      <m:t>1-</m:t>
                    </m:r>
                    <m:f>
                      <m:fPr>
                        <m:ctrlPr>
                          <w:rPr>
                            <w:rFonts w:ascii="Cambria Math" w:hAnsi="Cambria Math" w:cs="Arial"/>
                            <w:i/>
                            <w:szCs w:val="24"/>
                          </w:rPr>
                        </m:ctrlPr>
                      </m:fPr>
                      <m:num>
                        <m:r>
                          <w:rPr>
                            <w:rFonts w:ascii="Cambria Math" w:hAnsi="Cambria Math" w:cs="Arial"/>
                            <w:szCs w:val="24"/>
                            <w:lang w:val="en-US"/>
                          </w:rPr>
                          <m:t>∆</m:t>
                        </m:r>
                        <m:r>
                          <w:rPr>
                            <w:rFonts w:ascii="Cambria Math" w:hAnsi="Cambria Math" w:cs="Arial"/>
                            <w:szCs w:val="24"/>
                          </w:rPr>
                          <m:t>P</m:t>
                        </m:r>
                      </m:num>
                      <m:den>
                        <m:sSub>
                          <m:sSubPr>
                            <m:ctrlPr>
                              <w:rPr>
                                <w:rFonts w:ascii="Cambria Math" w:hAnsi="Cambria Math" w:cs="Arial"/>
                                <w:i/>
                                <w:szCs w:val="24"/>
                              </w:rPr>
                            </m:ctrlPr>
                          </m:sSubPr>
                          <m:e>
                            <m:r>
                              <w:rPr>
                                <w:rFonts w:ascii="Cambria Math" w:hAnsi="Cambria Math" w:cs="Arial"/>
                                <w:szCs w:val="24"/>
                                <w:lang w:val="en-US"/>
                              </w:rPr>
                              <m:t>∆</m:t>
                            </m:r>
                            <m:r>
                              <w:rPr>
                                <w:rFonts w:ascii="Cambria Math" w:hAnsi="Cambria Math" w:cs="Arial"/>
                                <w:szCs w:val="24"/>
                              </w:rPr>
                              <m:t>P</m:t>
                            </m:r>
                          </m:e>
                          <m:sub>
                            <m:r>
                              <w:rPr>
                                <w:rFonts w:ascii="Cambria Math" w:hAnsi="Cambria Math" w:cs="Arial"/>
                                <w:szCs w:val="24"/>
                              </w:rPr>
                              <m:t>o</m:t>
                            </m:r>
                          </m:sub>
                        </m:sSub>
                      </m:den>
                    </m:f>
                  </m:e>
                </m:d>
                <m:r>
                  <w:rPr>
                    <w:rFonts w:ascii="Cambria Math" w:eastAsiaTheme="minorEastAsia" w:hAnsi="Cambria Math" w:cs="Arial"/>
                    <w:szCs w:val="24"/>
                    <w:lang w:val="en-US"/>
                  </w:rPr>
                  <m:t>×100</m:t>
                </m:r>
              </m:oMath>
            </m:oMathPara>
          </w:p>
        </w:tc>
        <w:tc>
          <w:tcPr>
            <w:tcW w:w="676" w:type="dxa"/>
            <w:tcBorders>
              <w:top w:val="nil"/>
              <w:left w:val="nil"/>
              <w:bottom w:val="nil"/>
              <w:right w:val="nil"/>
            </w:tcBorders>
            <w:vAlign w:val="center"/>
          </w:tcPr>
          <w:p w:rsidR="00F33D62" w:rsidRDefault="00F33D62" w:rsidP="006040DA">
            <w:pPr>
              <w:keepNext/>
              <w:autoSpaceDE w:val="0"/>
              <w:autoSpaceDN w:val="0"/>
              <w:adjustRightInd w:val="0"/>
              <w:spacing w:after="0" w:line="240" w:lineRule="auto"/>
              <w:contextualSpacing w:val="0"/>
              <w:jc w:val="center"/>
              <w:rPr>
                <w:rFonts w:cs="Arial"/>
                <w:szCs w:val="24"/>
              </w:rPr>
            </w:pPr>
            <w:r>
              <w:rPr>
                <w:rFonts w:cs="Arial"/>
                <w:szCs w:val="24"/>
              </w:rPr>
              <w:t>(1)</w:t>
            </w:r>
          </w:p>
        </w:tc>
      </w:tr>
    </w:tbl>
    <w:p w:rsidR="006040DA" w:rsidRPr="007D04AD" w:rsidRDefault="006040DA">
      <w:pPr>
        <w:pStyle w:val="Legenda"/>
        <w:rPr>
          <w:color w:val="FFFFFF" w:themeColor="background1"/>
        </w:rPr>
      </w:pPr>
      <w:bookmarkStart w:id="10" w:name="_Ref488072625"/>
      <w:r w:rsidRPr="007D04AD">
        <w:rPr>
          <w:color w:val="FFFFFF" w:themeColor="background1"/>
        </w:rPr>
        <w:t xml:space="preserve">Equação </w:t>
      </w:r>
      <w:r w:rsidR="001144AF" w:rsidRPr="007D04AD">
        <w:rPr>
          <w:color w:val="FFFFFF" w:themeColor="background1"/>
        </w:rPr>
        <w:fldChar w:fldCharType="begin"/>
      </w:r>
      <w:r w:rsidR="001144AF" w:rsidRPr="007D04AD">
        <w:rPr>
          <w:color w:val="FFFFFF" w:themeColor="background1"/>
        </w:rPr>
        <w:instrText xml:space="preserve"> SEQ Equação \* ARABIC </w:instrText>
      </w:r>
      <w:r w:rsidR="001144AF" w:rsidRPr="007D04AD">
        <w:rPr>
          <w:color w:val="FFFFFF" w:themeColor="background1"/>
        </w:rPr>
        <w:fldChar w:fldCharType="separate"/>
      </w:r>
      <w:r w:rsidR="001144AF" w:rsidRPr="007D04AD">
        <w:rPr>
          <w:noProof/>
          <w:color w:val="FFFFFF" w:themeColor="background1"/>
        </w:rPr>
        <w:t>1</w:t>
      </w:r>
      <w:r w:rsidR="001144AF" w:rsidRPr="007D04AD">
        <w:rPr>
          <w:color w:val="FFFFFF" w:themeColor="background1"/>
        </w:rPr>
        <w:fldChar w:fldCharType="end"/>
      </w:r>
      <w:bookmarkEnd w:id="10"/>
    </w:p>
    <w:p w:rsidR="00F33D62" w:rsidRPr="00D50823" w:rsidRDefault="00F33D62" w:rsidP="00F33D62">
      <w:pPr>
        <w:autoSpaceDE w:val="0"/>
        <w:autoSpaceDN w:val="0"/>
        <w:adjustRightInd w:val="0"/>
        <w:contextualSpacing w:val="0"/>
        <w:rPr>
          <w:rFonts w:cs="Arial"/>
          <w:color w:val="FF0000"/>
          <w:szCs w:val="24"/>
        </w:rPr>
      </w:pPr>
      <w:r w:rsidRPr="00F33D62">
        <w:rPr>
          <w:rFonts w:cs="Arial"/>
          <w:szCs w:val="24"/>
        </w:rPr>
        <w:t xml:space="preserve">Em 1969, </w:t>
      </w:r>
      <w:r>
        <w:rPr>
          <w:rFonts w:cs="Arial"/>
          <w:szCs w:val="24"/>
        </w:rPr>
        <w:t xml:space="preserve">Lumley </w:t>
      </w:r>
      <w:r w:rsidR="00BA1FB9" w:rsidRPr="00BA1FB9">
        <w:rPr>
          <w:rFonts w:cs="Arial"/>
          <w:szCs w:val="24"/>
        </w:rPr>
        <w:t>[12</w:t>
      </w:r>
      <w:r w:rsidRPr="00BA1FB9">
        <w:rPr>
          <w:rFonts w:cs="Arial"/>
          <w:szCs w:val="24"/>
        </w:rPr>
        <w:t xml:space="preserve">] apresentou a redução de arraste como </w:t>
      </w:r>
      <w:r w:rsidR="00D50823" w:rsidRPr="00BA1FB9">
        <w:rPr>
          <w:rFonts w:cs="Arial"/>
          <w:szCs w:val="24"/>
        </w:rPr>
        <w:t xml:space="preserve">sendo </w:t>
      </w:r>
      <w:r w:rsidRPr="00BA1FB9">
        <w:rPr>
          <w:rFonts w:cs="Arial"/>
          <w:szCs w:val="24"/>
        </w:rPr>
        <w:t xml:space="preserve">a </w:t>
      </w:r>
      <w:r w:rsidR="00D50823" w:rsidRPr="00BA1FB9">
        <w:rPr>
          <w:rFonts w:cs="Arial"/>
          <w:szCs w:val="24"/>
        </w:rPr>
        <w:t xml:space="preserve">razão entre o </w:t>
      </w:r>
      <w:r w:rsidRPr="00BA1FB9">
        <w:rPr>
          <w:rFonts w:cs="Arial"/>
          <w:szCs w:val="24"/>
        </w:rPr>
        <w:t xml:space="preserve">fator de atrito </w:t>
      </w:r>
      <w:r w:rsidR="00D50823" w:rsidRPr="00BA1FB9">
        <w:rPr>
          <w:rFonts w:cs="Arial"/>
          <w:szCs w:val="24"/>
        </w:rPr>
        <w:t xml:space="preserve">da solução e o fator de atrito do solvente em um </w:t>
      </w:r>
      <w:r w:rsidRPr="00BA1FB9">
        <w:rPr>
          <w:rFonts w:cs="Arial"/>
          <w:szCs w:val="24"/>
        </w:rPr>
        <w:t>mesmo número de Reynolds</w:t>
      </w:r>
      <w:r w:rsidR="00D50823" w:rsidRPr="00BA1FB9">
        <w:rPr>
          <w:rFonts w:cs="Arial"/>
          <w:szCs w:val="24"/>
        </w:rPr>
        <w:t xml:space="preserve"> em esco</w:t>
      </w:r>
      <w:r w:rsidR="00D50823" w:rsidRPr="007D04AD">
        <w:rPr>
          <w:rFonts w:cs="Arial"/>
          <w:szCs w:val="24"/>
        </w:rPr>
        <w:t xml:space="preserve">amentos turbulentos. Esta estimativa é apresentada pela </w:t>
      </w:r>
      <w:r w:rsidR="006040DA" w:rsidRPr="007D04AD">
        <w:rPr>
          <w:rFonts w:cs="Arial"/>
          <w:szCs w:val="24"/>
        </w:rPr>
        <w:fldChar w:fldCharType="begin"/>
      </w:r>
      <w:r w:rsidR="006040DA" w:rsidRPr="007D04AD">
        <w:rPr>
          <w:rFonts w:cs="Arial"/>
          <w:szCs w:val="24"/>
        </w:rPr>
        <w:instrText xml:space="preserve"> REF _Ref488072753 \h </w:instrText>
      </w:r>
      <w:r w:rsidR="006040DA" w:rsidRPr="007D04AD">
        <w:rPr>
          <w:rFonts w:cs="Arial"/>
          <w:szCs w:val="24"/>
        </w:rPr>
      </w:r>
      <w:r w:rsidR="006040DA" w:rsidRPr="007D04AD">
        <w:rPr>
          <w:rFonts w:cs="Arial"/>
          <w:szCs w:val="24"/>
        </w:rPr>
        <w:fldChar w:fldCharType="separate"/>
      </w:r>
      <w:r w:rsidR="00380A8E" w:rsidRPr="007D04AD">
        <w:t xml:space="preserve">Equação </w:t>
      </w:r>
      <w:r w:rsidR="00380A8E" w:rsidRPr="007D04AD">
        <w:rPr>
          <w:noProof/>
        </w:rPr>
        <w:t>2</w:t>
      </w:r>
      <w:r w:rsidR="006040DA" w:rsidRPr="007D04AD">
        <w:rPr>
          <w:rFonts w:cs="Arial"/>
          <w:szCs w:val="24"/>
        </w:rPr>
        <w:fldChar w:fldCharType="end"/>
      </w:r>
      <w:r w:rsidR="00D50823" w:rsidRPr="00D50823">
        <w:rPr>
          <w:rFonts w:cs="Arial"/>
          <w:szCs w:val="24"/>
        </w:rPr>
        <w:t>,</w:t>
      </w:r>
      <w:r w:rsidR="00D50823">
        <w:rPr>
          <w:rFonts w:cs="Arial"/>
          <w:szCs w:val="24"/>
        </w:rPr>
        <w:t xml:space="preserve"> onde </w:t>
      </w:r>
      <m:oMath>
        <m:r>
          <w:rPr>
            <w:rFonts w:ascii="Cambria Math" w:hAnsi="Cambria Math" w:cs="Arial"/>
            <w:szCs w:val="24"/>
          </w:rPr>
          <m:t>f</m:t>
        </m:r>
      </m:oMath>
      <w:r w:rsidR="00D50823">
        <w:rPr>
          <w:rFonts w:eastAsiaTheme="minorEastAsia" w:cs="Arial"/>
          <w:szCs w:val="24"/>
        </w:rPr>
        <w:t xml:space="preserve"> é o fator de atrito da solução aditivada e </w:t>
      </w:r>
      <m:oMath>
        <m:sSub>
          <m:sSubPr>
            <m:ctrlPr>
              <w:rPr>
                <w:rFonts w:ascii="Cambria Math" w:hAnsi="Cambria Math" w:cs="Arial"/>
                <w:i/>
                <w:szCs w:val="24"/>
              </w:rPr>
            </m:ctrlPr>
          </m:sSubPr>
          <m:e>
            <m:r>
              <w:rPr>
                <w:rFonts w:ascii="Cambria Math" w:hAnsi="Cambria Math" w:cs="Arial"/>
                <w:szCs w:val="24"/>
              </w:rPr>
              <m:t>f</m:t>
            </m:r>
          </m:e>
          <m:sub>
            <m:r>
              <w:rPr>
                <w:rFonts w:ascii="Cambria Math" w:hAnsi="Cambria Math" w:cs="Arial"/>
                <w:szCs w:val="24"/>
              </w:rPr>
              <m:t>o</m:t>
            </m:r>
          </m:sub>
        </m:sSub>
      </m:oMath>
      <w:r w:rsidR="00D50823">
        <w:rPr>
          <w:rFonts w:eastAsiaTheme="minorEastAsia" w:cs="Arial"/>
          <w:szCs w:val="24"/>
        </w:rPr>
        <w:t xml:space="preserve"> é o fator de atrito do solvente.</w:t>
      </w:r>
    </w:p>
    <w:tbl>
      <w:tblPr>
        <w:tblStyle w:val="Tabelacomgrade"/>
        <w:tblW w:w="0" w:type="auto"/>
        <w:tblCellMar>
          <w:left w:w="0" w:type="dxa"/>
          <w:right w:w="0" w:type="dxa"/>
        </w:tblCellMar>
        <w:tblLook w:val="04A0" w:firstRow="1" w:lastRow="0" w:firstColumn="1" w:lastColumn="0" w:noHBand="0" w:noVBand="1"/>
      </w:tblPr>
      <w:tblGrid>
        <w:gridCol w:w="8395"/>
        <w:gridCol w:w="676"/>
      </w:tblGrid>
      <w:tr w:rsidR="00D50823" w:rsidTr="00CF1DFD">
        <w:tc>
          <w:tcPr>
            <w:tcW w:w="8395" w:type="dxa"/>
            <w:tcBorders>
              <w:top w:val="nil"/>
              <w:left w:val="nil"/>
              <w:bottom w:val="nil"/>
              <w:right w:val="nil"/>
            </w:tcBorders>
            <w:vAlign w:val="center"/>
          </w:tcPr>
          <w:p w:rsidR="00D50823" w:rsidRDefault="00D50823" w:rsidP="006040DA">
            <w:pPr>
              <w:autoSpaceDE w:val="0"/>
              <w:autoSpaceDN w:val="0"/>
              <w:adjustRightInd w:val="0"/>
              <w:spacing w:after="0" w:line="240" w:lineRule="auto"/>
              <w:contextualSpacing w:val="0"/>
              <w:jc w:val="center"/>
              <w:rPr>
                <w:rFonts w:cs="Arial"/>
                <w:szCs w:val="24"/>
              </w:rPr>
            </w:pPr>
            <m:oMathPara>
              <m:oMath>
                <m:r>
                  <w:rPr>
                    <w:rFonts w:ascii="Cambria Math" w:hAnsi="Cambria Math" w:cs="Arial"/>
                    <w:szCs w:val="24"/>
                  </w:rPr>
                  <m:t>%DR=</m:t>
                </m:r>
                <m:d>
                  <m:dPr>
                    <m:ctrlPr>
                      <w:rPr>
                        <w:rFonts w:ascii="Cambria Math" w:hAnsi="Cambria Math" w:cs="Arial"/>
                        <w:i/>
                        <w:szCs w:val="24"/>
                      </w:rPr>
                    </m:ctrlPr>
                  </m:dPr>
                  <m:e>
                    <m:r>
                      <w:rPr>
                        <w:rFonts w:ascii="Cambria Math" w:hAnsi="Cambria Math" w:cs="Arial"/>
                        <w:szCs w:val="24"/>
                      </w:rPr>
                      <m:t>1-</m:t>
                    </m:r>
                    <m:f>
                      <m:fPr>
                        <m:ctrlPr>
                          <w:rPr>
                            <w:rFonts w:ascii="Cambria Math" w:hAnsi="Cambria Math" w:cs="Arial"/>
                            <w:i/>
                            <w:szCs w:val="24"/>
                          </w:rPr>
                        </m:ctrlPr>
                      </m:fPr>
                      <m:num>
                        <m:r>
                          <w:rPr>
                            <w:rFonts w:ascii="Cambria Math" w:hAnsi="Cambria Math" w:cs="Arial"/>
                            <w:szCs w:val="24"/>
                          </w:rPr>
                          <m:t>f</m:t>
                        </m:r>
                      </m:num>
                      <m:den>
                        <m:sSub>
                          <m:sSubPr>
                            <m:ctrlPr>
                              <w:rPr>
                                <w:rFonts w:ascii="Cambria Math" w:hAnsi="Cambria Math" w:cs="Arial"/>
                                <w:i/>
                                <w:szCs w:val="24"/>
                              </w:rPr>
                            </m:ctrlPr>
                          </m:sSubPr>
                          <m:e>
                            <m:r>
                              <w:rPr>
                                <w:rFonts w:ascii="Cambria Math" w:hAnsi="Cambria Math" w:cs="Arial"/>
                                <w:szCs w:val="24"/>
                              </w:rPr>
                              <m:t>f</m:t>
                            </m:r>
                          </m:e>
                          <m:sub>
                            <m:r>
                              <w:rPr>
                                <w:rFonts w:ascii="Cambria Math" w:hAnsi="Cambria Math" w:cs="Arial"/>
                                <w:szCs w:val="24"/>
                              </w:rPr>
                              <m:t>o</m:t>
                            </m:r>
                          </m:sub>
                        </m:sSub>
                      </m:den>
                    </m:f>
                  </m:e>
                </m:d>
                <m:r>
                  <w:rPr>
                    <w:rFonts w:ascii="Cambria Math" w:eastAsiaTheme="minorEastAsia" w:hAnsi="Cambria Math" w:cs="Arial"/>
                    <w:szCs w:val="24"/>
                  </w:rPr>
                  <m:t>×100</m:t>
                </m:r>
              </m:oMath>
            </m:oMathPara>
          </w:p>
        </w:tc>
        <w:tc>
          <w:tcPr>
            <w:tcW w:w="676" w:type="dxa"/>
            <w:tcBorders>
              <w:top w:val="nil"/>
              <w:left w:val="nil"/>
              <w:bottom w:val="nil"/>
              <w:right w:val="nil"/>
            </w:tcBorders>
            <w:vAlign w:val="center"/>
          </w:tcPr>
          <w:p w:rsidR="00D50823" w:rsidRDefault="006040DA" w:rsidP="006040DA">
            <w:pPr>
              <w:keepNext/>
              <w:autoSpaceDE w:val="0"/>
              <w:autoSpaceDN w:val="0"/>
              <w:adjustRightInd w:val="0"/>
              <w:spacing w:after="0" w:line="240" w:lineRule="auto"/>
              <w:contextualSpacing w:val="0"/>
              <w:jc w:val="center"/>
              <w:rPr>
                <w:rFonts w:cs="Arial"/>
                <w:szCs w:val="24"/>
              </w:rPr>
            </w:pPr>
            <w:r>
              <w:rPr>
                <w:rFonts w:cs="Arial"/>
                <w:szCs w:val="24"/>
              </w:rPr>
              <w:t>(</w:t>
            </w:r>
            <w:r w:rsidR="00D50823">
              <w:rPr>
                <w:rFonts w:cs="Arial"/>
                <w:szCs w:val="24"/>
              </w:rPr>
              <w:t>2)</w:t>
            </w:r>
          </w:p>
        </w:tc>
      </w:tr>
    </w:tbl>
    <w:p w:rsidR="006040DA" w:rsidRPr="006040DA" w:rsidRDefault="006040DA">
      <w:pPr>
        <w:pStyle w:val="Legenda"/>
        <w:rPr>
          <w:color w:val="FFFFFF" w:themeColor="background1"/>
        </w:rPr>
      </w:pPr>
      <w:bookmarkStart w:id="11" w:name="_Ref488072753"/>
      <w:r w:rsidRPr="006040DA">
        <w:rPr>
          <w:color w:val="FFFFFF" w:themeColor="background1"/>
        </w:rPr>
        <w:t xml:space="preserve">Equação </w:t>
      </w:r>
      <w:r w:rsidR="001144AF">
        <w:rPr>
          <w:color w:val="FFFFFF" w:themeColor="background1"/>
        </w:rPr>
        <w:fldChar w:fldCharType="begin"/>
      </w:r>
      <w:r w:rsidR="001144AF">
        <w:rPr>
          <w:color w:val="FFFFFF" w:themeColor="background1"/>
        </w:rPr>
        <w:instrText xml:space="preserve"> SEQ Equação \* ARABIC </w:instrText>
      </w:r>
      <w:r w:rsidR="001144AF">
        <w:rPr>
          <w:color w:val="FFFFFF" w:themeColor="background1"/>
        </w:rPr>
        <w:fldChar w:fldCharType="separate"/>
      </w:r>
      <w:r w:rsidR="001144AF">
        <w:rPr>
          <w:noProof/>
          <w:color w:val="FFFFFF" w:themeColor="background1"/>
        </w:rPr>
        <w:t>2</w:t>
      </w:r>
      <w:r w:rsidR="001144AF">
        <w:rPr>
          <w:color w:val="FFFFFF" w:themeColor="background1"/>
        </w:rPr>
        <w:fldChar w:fldCharType="end"/>
      </w:r>
      <w:bookmarkEnd w:id="11"/>
    </w:p>
    <w:p w:rsidR="009F73DE" w:rsidRDefault="001D7C49" w:rsidP="00A11265">
      <w:pPr>
        <w:autoSpaceDE w:val="0"/>
        <w:autoSpaceDN w:val="0"/>
        <w:adjustRightInd w:val="0"/>
        <w:contextualSpacing w:val="0"/>
        <w:rPr>
          <w:rFonts w:cs="Arial"/>
          <w:szCs w:val="24"/>
        </w:rPr>
      </w:pPr>
      <w:r w:rsidRPr="00BA1FB9">
        <w:rPr>
          <w:rFonts w:cs="Arial"/>
          <w:szCs w:val="24"/>
        </w:rPr>
        <w:t xml:space="preserve">Virk </w:t>
      </w:r>
      <w:r w:rsidR="00BA1FB9" w:rsidRPr="00BA1FB9">
        <w:rPr>
          <w:rFonts w:cs="Arial"/>
          <w:szCs w:val="24"/>
        </w:rPr>
        <w:t>[5]</w:t>
      </w:r>
      <w:r w:rsidR="00E558A6" w:rsidRPr="00BA1FB9">
        <w:rPr>
          <w:rFonts w:cs="Arial"/>
          <w:szCs w:val="24"/>
        </w:rPr>
        <w:t xml:space="preserve">, ao mostrar em seus trabalhos </w:t>
      </w:r>
      <w:r w:rsidR="00A11265" w:rsidRPr="00BA1FB9">
        <w:rPr>
          <w:rFonts w:cs="Arial"/>
          <w:szCs w:val="24"/>
        </w:rPr>
        <w:t xml:space="preserve">que a eficiência da redução de arraste por polímeros é uma função </w:t>
      </w:r>
      <w:r w:rsidR="007D04AD" w:rsidRPr="00BA1FB9">
        <w:rPr>
          <w:rFonts w:cs="Arial"/>
          <w:szCs w:val="24"/>
        </w:rPr>
        <w:tab/>
      </w:r>
      <w:r w:rsidR="00A11265" w:rsidRPr="00BA1FB9">
        <w:rPr>
          <w:rFonts w:cs="Arial"/>
          <w:szCs w:val="24"/>
        </w:rPr>
        <w:t>universal</w:t>
      </w:r>
      <w:r w:rsidR="00E558A6" w:rsidRPr="00BA1FB9">
        <w:rPr>
          <w:rFonts w:cs="Arial"/>
          <w:szCs w:val="24"/>
        </w:rPr>
        <w:t xml:space="preserve"> do</w:t>
      </w:r>
      <w:r w:rsidR="00A11265" w:rsidRPr="00BA1FB9">
        <w:rPr>
          <w:rFonts w:cs="Arial"/>
          <w:szCs w:val="24"/>
        </w:rPr>
        <w:t xml:space="preserve"> peso molec</w:t>
      </w:r>
      <w:r w:rsidR="00E558A6" w:rsidRPr="00BA1FB9">
        <w:rPr>
          <w:rFonts w:cs="Arial"/>
          <w:szCs w:val="24"/>
        </w:rPr>
        <w:t xml:space="preserve">ular, concentração, </w:t>
      </w:r>
      <w:r w:rsidR="00A11265" w:rsidRPr="00BA1FB9">
        <w:rPr>
          <w:rFonts w:cs="Arial"/>
          <w:szCs w:val="24"/>
        </w:rPr>
        <w:t>vazão e, consequentemente, do número de Reynolds</w:t>
      </w:r>
      <w:r w:rsidR="00E558A6" w:rsidRPr="00BA1FB9">
        <w:rPr>
          <w:rFonts w:cs="Arial"/>
          <w:szCs w:val="24"/>
        </w:rPr>
        <w:t xml:space="preserve">, movimentou a comunidade científica. </w:t>
      </w:r>
      <w:r w:rsidR="00A11265" w:rsidRPr="00BA1FB9">
        <w:rPr>
          <w:rFonts w:cs="Arial"/>
          <w:szCs w:val="24"/>
        </w:rPr>
        <w:t xml:space="preserve">Em seus estudos, foi percebido que </w:t>
      </w:r>
      <w:r w:rsidR="00E558A6" w:rsidRPr="00BA1FB9">
        <w:rPr>
          <w:rFonts w:cs="Arial"/>
          <w:szCs w:val="24"/>
        </w:rPr>
        <w:t xml:space="preserve">o início da redução de arraste utilizando soluções </w:t>
      </w:r>
      <w:r w:rsidR="00E558A6" w:rsidRPr="00BA1FB9">
        <w:rPr>
          <w:rFonts w:cs="Arial"/>
          <w:szCs w:val="24"/>
        </w:rPr>
        <w:lastRenderedPageBreak/>
        <w:t>poliméricas ocorre de uma maneira muito bem definida e que</w:t>
      </w:r>
      <w:r w:rsidR="00A11265" w:rsidRPr="00BA1FB9">
        <w:rPr>
          <w:rFonts w:cs="Arial"/>
          <w:szCs w:val="24"/>
        </w:rPr>
        <w:t xml:space="preserve"> redução de arraste aumenta com o incremento da concentração, peso molecular e do número de Reynolds. Além disso, </w:t>
      </w:r>
      <w:r w:rsidR="00E558A6" w:rsidRPr="00BA1FB9">
        <w:rPr>
          <w:rFonts w:cs="Arial"/>
          <w:szCs w:val="24"/>
        </w:rPr>
        <w:t xml:space="preserve">identificou-se que propriedades </w:t>
      </w:r>
      <w:r w:rsidR="00A11265" w:rsidRPr="00BA1FB9">
        <w:rPr>
          <w:rFonts w:cs="Arial"/>
          <w:szCs w:val="24"/>
        </w:rPr>
        <w:t>do solvente</w:t>
      </w:r>
      <w:r w:rsidR="00E558A6" w:rsidRPr="00BA1FB9">
        <w:rPr>
          <w:rFonts w:cs="Arial"/>
          <w:szCs w:val="24"/>
        </w:rPr>
        <w:t xml:space="preserve"> interferem</w:t>
      </w:r>
      <w:r w:rsidR="00A11265" w:rsidRPr="00BA1FB9">
        <w:rPr>
          <w:rFonts w:cs="Arial"/>
          <w:szCs w:val="24"/>
        </w:rPr>
        <w:t xml:space="preserve"> </w:t>
      </w:r>
      <w:r w:rsidR="00E558A6" w:rsidRPr="00BA1FB9">
        <w:rPr>
          <w:rFonts w:cs="Arial"/>
          <w:szCs w:val="24"/>
        </w:rPr>
        <w:t xml:space="preserve">diretamente no fenômeno, alterando o arranjo molecular dos </w:t>
      </w:r>
      <w:r w:rsidR="00A11265" w:rsidRPr="00BA1FB9">
        <w:rPr>
          <w:rFonts w:cs="Arial"/>
          <w:szCs w:val="24"/>
        </w:rPr>
        <w:t xml:space="preserve">polímeros </w:t>
      </w:r>
      <w:r w:rsidR="00E558A6" w:rsidRPr="00BA1FB9">
        <w:rPr>
          <w:rFonts w:cs="Arial"/>
          <w:szCs w:val="24"/>
        </w:rPr>
        <w:t>aditivos</w:t>
      </w:r>
      <w:r w:rsidR="00A11265" w:rsidRPr="00BA1FB9">
        <w:rPr>
          <w:rFonts w:cs="Arial"/>
          <w:szCs w:val="24"/>
        </w:rPr>
        <w:t xml:space="preserve">. </w:t>
      </w:r>
      <w:r w:rsidR="00E558A6" w:rsidRPr="00BA1FB9">
        <w:rPr>
          <w:rFonts w:cs="Arial"/>
          <w:szCs w:val="24"/>
        </w:rPr>
        <w:t xml:space="preserve">Virk </w:t>
      </w:r>
      <w:r w:rsidR="00BA1FB9" w:rsidRPr="00BA1FB9">
        <w:rPr>
          <w:rFonts w:cs="Arial"/>
          <w:szCs w:val="24"/>
        </w:rPr>
        <w:t>[5]</w:t>
      </w:r>
      <w:r w:rsidR="00E558A6">
        <w:rPr>
          <w:rFonts w:cs="Arial"/>
          <w:szCs w:val="24"/>
        </w:rPr>
        <w:t>, demonstrou que</w:t>
      </w:r>
      <w:r w:rsidR="00A11265" w:rsidRPr="00A11265">
        <w:rPr>
          <w:rFonts w:cs="Arial"/>
          <w:szCs w:val="24"/>
        </w:rPr>
        <w:t xml:space="preserve"> a máxima redução de arraste </w:t>
      </w:r>
      <w:r w:rsidR="00E558A6">
        <w:rPr>
          <w:rFonts w:cs="Arial"/>
          <w:szCs w:val="24"/>
        </w:rPr>
        <w:t xml:space="preserve">alcançável </w:t>
      </w:r>
      <w:r w:rsidR="00A11265" w:rsidRPr="00A11265">
        <w:rPr>
          <w:rFonts w:cs="Arial"/>
          <w:szCs w:val="24"/>
        </w:rPr>
        <w:t>com soluções</w:t>
      </w:r>
      <w:r w:rsidR="00A11265">
        <w:rPr>
          <w:rFonts w:cs="Arial"/>
          <w:szCs w:val="24"/>
        </w:rPr>
        <w:t xml:space="preserve"> </w:t>
      </w:r>
      <w:r w:rsidR="00E558A6">
        <w:rPr>
          <w:rFonts w:cs="Arial"/>
          <w:szCs w:val="24"/>
        </w:rPr>
        <w:t>poliméricas é limitada pela</w:t>
      </w:r>
      <w:r w:rsidR="00A11265" w:rsidRPr="00A11265">
        <w:rPr>
          <w:rFonts w:cs="Arial"/>
          <w:szCs w:val="24"/>
        </w:rPr>
        <w:t xml:space="preserve"> assíntota de máxima redução de arraste</w:t>
      </w:r>
      <w:r w:rsidR="00A11265">
        <w:rPr>
          <w:rFonts w:cs="Arial"/>
          <w:szCs w:val="24"/>
        </w:rPr>
        <w:t xml:space="preserve"> </w:t>
      </w:r>
      <w:r w:rsidR="00E558A6">
        <w:rPr>
          <w:rFonts w:cs="Arial"/>
          <w:szCs w:val="24"/>
        </w:rPr>
        <w:t xml:space="preserve">(MDR), ou assíntota de Virk, sendo esta </w:t>
      </w:r>
      <w:r w:rsidR="00A11265" w:rsidRPr="00A11265">
        <w:rPr>
          <w:rFonts w:cs="Arial"/>
          <w:szCs w:val="24"/>
        </w:rPr>
        <w:t xml:space="preserve">independente do </w:t>
      </w:r>
      <w:r w:rsidR="00E558A6">
        <w:rPr>
          <w:rFonts w:cs="Arial"/>
          <w:szCs w:val="24"/>
        </w:rPr>
        <w:t xml:space="preserve">tipo de </w:t>
      </w:r>
      <w:r w:rsidR="00A11265" w:rsidRPr="00A11265">
        <w:rPr>
          <w:rFonts w:cs="Arial"/>
          <w:szCs w:val="24"/>
        </w:rPr>
        <w:t xml:space="preserve">polímero e </w:t>
      </w:r>
      <w:r w:rsidR="00E558A6">
        <w:rPr>
          <w:rFonts w:cs="Arial"/>
          <w:szCs w:val="24"/>
        </w:rPr>
        <w:t xml:space="preserve">do diâmetro da tubulação </w:t>
      </w:r>
      <w:r w:rsidR="00C21094" w:rsidRPr="00BA1FB9">
        <w:rPr>
          <w:rFonts w:cs="Arial"/>
          <w:szCs w:val="24"/>
        </w:rPr>
        <w:t>[5]</w:t>
      </w:r>
      <w:r w:rsidR="00A11265" w:rsidRPr="00A11265">
        <w:rPr>
          <w:rFonts w:cs="Arial"/>
          <w:szCs w:val="24"/>
        </w:rPr>
        <w:t>.</w:t>
      </w:r>
      <w:r w:rsidR="00A11265">
        <w:rPr>
          <w:rFonts w:cs="Arial"/>
          <w:szCs w:val="24"/>
        </w:rPr>
        <w:t xml:space="preserve"> </w:t>
      </w:r>
      <w:r w:rsidR="00A11265" w:rsidRPr="00A11265">
        <w:rPr>
          <w:rFonts w:cs="Arial"/>
          <w:szCs w:val="24"/>
        </w:rPr>
        <w:t xml:space="preserve">A assíntota de máxima redução de arraste é </w:t>
      </w:r>
      <w:r w:rsidR="00A11265" w:rsidRPr="00173873">
        <w:rPr>
          <w:rFonts w:cs="Arial"/>
          <w:szCs w:val="24"/>
        </w:rPr>
        <w:t xml:space="preserve">fornecida pela </w:t>
      </w:r>
      <w:r w:rsidR="00E57E6D" w:rsidRPr="00173873">
        <w:rPr>
          <w:rFonts w:cs="Arial"/>
          <w:szCs w:val="24"/>
        </w:rPr>
        <w:fldChar w:fldCharType="begin"/>
      </w:r>
      <w:r w:rsidR="00E57E6D" w:rsidRPr="00173873">
        <w:rPr>
          <w:rFonts w:cs="Arial"/>
          <w:szCs w:val="24"/>
        </w:rPr>
        <w:instrText xml:space="preserve"> REF _Ref488072837 \h </w:instrText>
      </w:r>
      <w:r w:rsidR="00E57E6D" w:rsidRPr="00173873">
        <w:rPr>
          <w:rFonts w:cs="Arial"/>
          <w:szCs w:val="24"/>
        </w:rPr>
      </w:r>
      <w:r w:rsidR="00E57E6D" w:rsidRPr="00173873">
        <w:rPr>
          <w:rFonts w:cs="Arial"/>
          <w:szCs w:val="24"/>
        </w:rPr>
        <w:fldChar w:fldCharType="separate"/>
      </w:r>
      <w:r w:rsidR="00380A8E" w:rsidRPr="00173873">
        <w:t xml:space="preserve">Equação </w:t>
      </w:r>
      <w:r w:rsidR="00380A8E" w:rsidRPr="00173873">
        <w:rPr>
          <w:noProof/>
        </w:rPr>
        <w:t>3</w:t>
      </w:r>
      <w:r w:rsidR="00E57E6D" w:rsidRPr="00173873">
        <w:rPr>
          <w:rFonts w:cs="Arial"/>
          <w:szCs w:val="24"/>
        </w:rPr>
        <w:fldChar w:fldCharType="end"/>
      </w:r>
      <w:r w:rsidR="00A11265" w:rsidRPr="00173873">
        <w:rPr>
          <w:rFonts w:cs="Arial"/>
          <w:szCs w:val="24"/>
        </w:rPr>
        <w:t xml:space="preserve">, </w:t>
      </w:r>
      <w:r w:rsidR="00A11265">
        <w:rPr>
          <w:rFonts w:cs="Arial"/>
          <w:szCs w:val="24"/>
        </w:rPr>
        <w:t xml:space="preserve">onde </w:t>
      </w:r>
      <m:oMath>
        <m:r>
          <w:rPr>
            <w:rFonts w:ascii="Cambria Math" w:hAnsi="Cambria Math" w:cs="Arial"/>
            <w:szCs w:val="24"/>
          </w:rPr>
          <m:t>Re</m:t>
        </m:r>
      </m:oMath>
      <w:r w:rsidR="00A11265">
        <w:rPr>
          <w:rFonts w:cs="Arial"/>
          <w:szCs w:val="24"/>
        </w:rPr>
        <w:t xml:space="preserve"> é</w:t>
      </w:r>
      <w:r w:rsidR="00A11265" w:rsidRPr="00A11265">
        <w:rPr>
          <w:rFonts w:cs="Arial"/>
          <w:szCs w:val="24"/>
        </w:rPr>
        <w:t xml:space="preserve"> o número</w:t>
      </w:r>
      <w:r w:rsidR="00A11265">
        <w:rPr>
          <w:rFonts w:cs="Arial"/>
          <w:szCs w:val="24"/>
        </w:rPr>
        <w:t xml:space="preserve"> de Reynolds e </w:t>
      </w:r>
      <w:r w:rsidR="009F73DE">
        <w:rPr>
          <w:rFonts w:cs="Arial"/>
          <w:szCs w:val="24"/>
        </w:rPr>
        <w:t xml:space="preserve">o </w:t>
      </w:r>
      <w:r w:rsidR="00A11265" w:rsidRPr="00A11265">
        <w:rPr>
          <w:rFonts w:cs="Arial"/>
          <w:szCs w:val="24"/>
        </w:rPr>
        <w:t xml:space="preserve">fator de atrito </w:t>
      </w:r>
      <w:r w:rsidR="009F73DE">
        <w:rPr>
          <w:rFonts w:cs="Arial"/>
          <w:szCs w:val="24"/>
        </w:rPr>
        <w:t xml:space="preserve">utilizado é o </w:t>
      </w:r>
      <w:r w:rsidR="00A11265" w:rsidRPr="00A11265">
        <w:rPr>
          <w:rFonts w:cs="Arial"/>
          <w:szCs w:val="24"/>
        </w:rPr>
        <w:t>de Fanning.</w:t>
      </w:r>
    </w:p>
    <w:tbl>
      <w:tblPr>
        <w:tblStyle w:val="Tabelacomgrade"/>
        <w:tblW w:w="0" w:type="auto"/>
        <w:tblCellMar>
          <w:left w:w="0" w:type="dxa"/>
          <w:right w:w="0" w:type="dxa"/>
        </w:tblCellMar>
        <w:tblLook w:val="04A0" w:firstRow="1" w:lastRow="0" w:firstColumn="1" w:lastColumn="0" w:noHBand="0" w:noVBand="1"/>
      </w:tblPr>
      <w:tblGrid>
        <w:gridCol w:w="8395"/>
        <w:gridCol w:w="676"/>
      </w:tblGrid>
      <w:tr w:rsidR="009F73DE" w:rsidTr="00CF1DFD">
        <w:tc>
          <w:tcPr>
            <w:tcW w:w="8395" w:type="dxa"/>
            <w:tcBorders>
              <w:top w:val="nil"/>
              <w:left w:val="nil"/>
              <w:bottom w:val="nil"/>
              <w:right w:val="nil"/>
            </w:tcBorders>
            <w:vAlign w:val="center"/>
          </w:tcPr>
          <w:p w:rsidR="009F73DE" w:rsidRDefault="00D83C6E" w:rsidP="006040DA">
            <w:pPr>
              <w:autoSpaceDE w:val="0"/>
              <w:autoSpaceDN w:val="0"/>
              <w:adjustRightInd w:val="0"/>
              <w:spacing w:after="0" w:line="240" w:lineRule="auto"/>
              <w:contextualSpacing w:val="0"/>
              <w:rPr>
                <w:rFonts w:cs="Arial"/>
                <w:szCs w:val="24"/>
              </w:rPr>
            </w:pPr>
            <m:oMathPara>
              <m:oMath>
                <m:sSubSup>
                  <m:sSubSupPr>
                    <m:ctrlPr>
                      <w:rPr>
                        <w:rFonts w:ascii="Cambria Math" w:hAnsi="Cambria Math" w:cs="Arial"/>
                        <w:i/>
                        <w:szCs w:val="24"/>
                      </w:rPr>
                    </m:ctrlPr>
                  </m:sSubSupPr>
                  <m:e>
                    <m:r>
                      <w:rPr>
                        <w:rFonts w:ascii="Cambria Math" w:hAnsi="Cambria Math" w:cs="Arial"/>
                        <w:szCs w:val="24"/>
                      </w:rPr>
                      <m:t>f</m:t>
                    </m:r>
                  </m:e>
                  <m:sub>
                    <m:r>
                      <w:rPr>
                        <w:rFonts w:ascii="Cambria Math" w:hAnsi="Cambria Math" w:cs="Arial"/>
                        <w:szCs w:val="24"/>
                      </w:rPr>
                      <m:t>Fanning</m:t>
                    </m:r>
                  </m:sub>
                  <m:sup>
                    <m:r>
                      <w:rPr>
                        <w:rFonts w:ascii="Cambria Math" w:hAnsi="Cambria Math" w:cs="Arial"/>
                        <w:szCs w:val="24"/>
                      </w:rPr>
                      <m:t>-1/2</m:t>
                    </m:r>
                  </m:sup>
                </m:sSubSup>
                <m:r>
                  <w:rPr>
                    <w:rFonts w:ascii="Cambria Math" w:hAnsi="Cambria Math" w:cs="Arial"/>
                    <w:szCs w:val="24"/>
                  </w:rPr>
                  <m:t xml:space="preserve">=19,0 </m:t>
                </m:r>
                <m:sSub>
                  <m:sSubPr>
                    <m:ctrlPr>
                      <w:rPr>
                        <w:rFonts w:ascii="Cambria Math" w:hAnsi="Cambria Math" w:cs="Arial"/>
                        <w:i/>
                        <w:szCs w:val="24"/>
                      </w:rPr>
                    </m:ctrlPr>
                  </m:sSubPr>
                  <m:e>
                    <m:r>
                      <w:rPr>
                        <w:rFonts w:ascii="Cambria Math" w:hAnsi="Cambria Math" w:cs="Arial"/>
                        <w:szCs w:val="24"/>
                      </w:rPr>
                      <m:t>log</m:t>
                    </m:r>
                  </m:e>
                  <m:sub>
                    <m:r>
                      <w:rPr>
                        <w:rFonts w:ascii="Cambria Math" w:hAnsi="Cambria Math" w:cs="Arial"/>
                        <w:szCs w:val="24"/>
                      </w:rPr>
                      <m:t>10</m:t>
                    </m:r>
                  </m:sub>
                </m:sSub>
                <m:d>
                  <m:dPr>
                    <m:ctrlPr>
                      <w:rPr>
                        <w:rFonts w:ascii="Cambria Math" w:hAnsi="Cambria Math" w:cs="Arial"/>
                        <w:i/>
                        <w:szCs w:val="24"/>
                      </w:rPr>
                    </m:ctrlPr>
                  </m:dPr>
                  <m:e>
                    <m:r>
                      <w:rPr>
                        <w:rFonts w:ascii="Cambria Math" w:hAnsi="Cambria Math" w:cs="Arial"/>
                        <w:szCs w:val="24"/>
                      </w:rPr>
                      <m:t>Re</m:t>
                    </m:r>
                    <m:rad>
                      <m:radPr>
                        <m:degHide m:val="1"/>
                        <m:ctrlPr>
                          <w:rPr>
                            <w:rFonts w:ascii="Cambria Math" w:hAnsi="Cambria Math" w:cs="Arial"/>
                            <w:i/>
                            <w:szCs w:val="24"/>
                          </w:rPr>
                        </m:ctrlPr>
                      </m:radPr>
                      <m:deg/>
                      <m:e>
                        <m:sSub>
                          <m:sSubPr>
                            <m:ctrlPr>
                              <w:rPr>
                                <w:rFonts w:ascii="Cambria Math" w:hAnsi="Cambria Math" w:cs="Arial"/>
                                <w:i/>
                                <w:szCs w:val="24"/>
                              </w:rPr>
                            </m:ctrlPr>
                          </m:sSubPr>
                          <m:e>
                            <m:r>
                              <w:rPr>
                                <w:rFonts w:ascii="Cambria Math" w:hAnsi="Cambria Math" w:cs="Arial"/>
                                <w:szCs w:val="24"/>
                              </w:rPr>
                              <m:t>f</m:t>
                            </m:r>
                          </m:e>
                          <m:sub>
                            <m:r>
                              <w:rPr>
                                <w:rFonts w:ascii="Cambria Math" w:hAnsi="Cambria Math" w:cs="Arial"/>
                                <w:szCs w:val="24"/>
                              </w:rPr>
                              <m:t>Fanning</m:t>
                            </m:r>
                          </m:sub>
                        </m:sSub>
                      </m:e>
                    </m:rad>
                  </m:e>
                </m:d>
                <m:r>
                  <w:rPr>
                    <w:rFonts w:ascii="Cambria Math" w:hAnsi="Cambria Math" w:cs="Arial"/>
                    <w:szCs w:val="24"/>
                  </w:rPr>
                  <m:t>-32,4</m:t>
                </m:r>
              </m:oMath>
            </m:oMathPara>
          </w:p>
        </w:tc>
        <w:tc>
          <w:tcPr>
            <w:tcW w:w="676" w:type="dxa"/>
            <w:tcBorders>
              <w:top w:val="nil"/>
              <w:left w:val="nil"/>
              <w:bottom w:val="nil"/>
              <w:right w:val="nil"/>
            </w:tcBorders>
            <w:vAlign w:val="center"/>
          </w:tcPr>
          <w:p w:rsidR="009F73DE" w:rsidRDefault="006040DA" w:rsidP="006040DA">
            <w:pPr>
              <w:keepNext/>
              <w:autoSpaceDE w:val="0"/>
              <w:autoSpaceDN w:val="0"/>
              <w:adjustRightInd w:val="0"/>
              <w:spacing w:after="0" w:line="240" w:lineRule="auto"/>
              <w:contextualSpacing w:val="0"/>
              <w:jc w:val="center"/>
              <w:rPr>
                <w:rFonts w:cs="Arial"/>
                <w:szCs w:val="24"/>
              </w:rPr>
            </w:pPr>
            <w:r>
              <w:rPr>
                <w:rFonts w:cs="Arial"/>
                <w:szCs w:val="24"/>
              </w:rPr>
              <w:t>(</w:t>
            </w:r>
            <w:r w:rsidR="009F73DE">
              <w:rPr>
                <w:rFonts w:cs="Arial"/>
                <w:szCs w:val="24"/>
              </w:rPr>
              <w:t>3)</w:t>
            </w:r>
          </w:p>
        </w:tc>
      </w:tr>
    </w:tbl>
    <w:p w:rsidR="006040DA" w:rsidRPr="00E57E6D" w:rsidRDefault="006040DA">
      <w:pPr>
        <w:pStyle w:val="Legenda"/>
        <w:rPr>
          <w:color w:val="FFFFFF" w:themeColor="background1"/>
        </w:rPr>
      </w:pPr>
      <w:bookmarkStart w:id="12" w:name="_Ref488072837"/>
      <w:r w:rsidRPr="00E57E6D">
        <w:rPr>
          <w:color w:val="FFFFFF" w:themeColor="background1"/>
        </w:rPr>
        <w:t xml:space="preserve">Equação </w:t>
      </w:r>
      <w:r w:rsidR="001144AF">
        <w:rPr>
          <w:color w:val="FFFFFF" w:themeColor="background1"/>
        </w:rPr>
        <w:fldChar w:fldCharType="begin"/>
      </w:r>
      <w:r w:rsidR="001144AF">
        <w:rPr>
          <w:color w:val="FFFFFF" w:themeColor="background1"/>
        </w:rPr>
        <w:instrText xml:space="preserve"> SEQ Equação \* ARABIC </w:instrText>
      </w:r>
      <w:r w:rsidR="001144AF">
        <w:rPr>
          <w:color w:val="FFFFFF" w:themeColor="background1"/>
        </w:rPr>
        <w:fldChar w:fldCharType="separate"/>
      </w:r>
      <w:r w:rsidR="001144AF">
        <w:rPr>
          <w:noProof/>
          <w:color w:val="FFFFFF" w:themeColor="background1"/>
        </w:rPr>
        <w:t>3</w:t>
      </w:r>
      <w:r w:rsidR="001144AF">
        <w:rPr>
          <w:color w:val="FFFFFF" w:themeColor="background1"/>
        </w:rPr>
        <w:fldChar w:fldCharType="end"/>
      </w:r>
      <w:bookmarkEnd w:id="12"/>
    </w:p>
    <w:p w:rsidR="004B7BEE" w:rsidRPr="00A11265" w:rsidRDefault="004B7BEE" w:rsidP="00A11265">
      <w:pPr>
        <w:autoSpaceDE w:val="0"/>
        <w:autoSpaceDN w:val="0"/>
        <w:adjustRightInd w:val="0"/>
        <w:contextualSpacing w:val="0"/>
        <w:rPr>
          <w:rFonts w:cs="Arial"/>
          <w:szCs w:val="24"/>
        </w:rPr>
      </w:pPr>
      <w:r>
        <w:rPr>
          <w:rFonts w:cs="Arial"/>
          <w:szCs w:val="24"/>
        </w:rPr>
        <w:t>Todavia, um</w:t>
      </w:r>
      <w:r w:rsidR="00D83A1A">
        <w:rPr>
          <w:rFonts w:cs="Arial"/>
          <w:szCs w:val="24"/>
        </w:rPr>
        <w:t xml:space="preserve"> fator </w:t>
      </w:r>
      <w:r>
        <w:rPr>
          <w:rFonts w:cs="Arial"/>
          <w:szCs w:val="24"/>
        </w:rPr>
        <w:t xml:space="preserve">que é bem consolidado, sendo utilizado no diagrama de Moody, é o fator de Darcy, onde </w:t>
      </w:r>
      <m:oMath>
        <m:sSub>
          <m:sSubPr>
            <m:ctrlPr>
              <w:rPr>
                <w:rFonts w:ascii="Cambria Math" w:hAnsi="Cambria Math" w:cs="Arial"/>
                <w:i/>
                <w:szCs w:val="24"/>
              </w:rPr>
            </m:ctrlPr>
          </m:sSubPr>
          <m:e>
            <m:r>
              <w:rPr>
                <w:rFonts w:ascii="Cambria Math" w:hAnsi="Cambria Math" w:cs="Arial"/>
                <w:szCs w:val="24"/>
              </w:rPr>
              <m:t>f</m:t>
            </m:r>
          </m:e>
          <m:sub>
            <m:r>
              <w:rPr>
                <w:rFonts w:ascii="Cambria Math" w:hAnsi="Cambria Math" w:cs="Arial"/>
                <w:szCs w:val="24"/>
              </w:rPr>
              <m:t>Darcy</m:t>
            </m:r>
          </m:sub>
        </m:sSub>
        <m:r>
          <w:rPr>
            <w:rFonts w:ascii="Cambria Math" w:hAnsi="Cambria Math" w:cs="Arial"/>
            <w:szCs w:val="24"/>
          </w:rPr>
          <m:t>=4×</m:t>
        </m:r>
        <m:sSub>
          <m:sSubPr>
            <m:ctrlPr>
              <w:rPr>
                <w:rFonts w:ascii="Cambria Math" w:hAnsi="Cambria Math" w:cs="Arial"/>
                <w:i/>
                <w:szCs w:val="24"/>
              </w:rPr>
            </m:ctrlPr>
          </m:sSubPr>
          <m:e>
            <m:r>
              <w:rPr>
                <w:rFonts w:ascii="Cambria Math" w:hAnsi="Cambria Math" w:cs="Arial"/>
                <w:szCs w:val="24"/>
              </w:rPr>
              <m:t>f</m:t>
            </m:r>
          </m:e>
          <m:sub>
            <m:r>
              <w:rPr>
                <w:rFonts w:ascii="Cambria Math" w:hAnsi="Cambria Math" w:cs="Arial"/>
                <w:szCs w:val="24"/>
              </w:rPr>
              <m:t>Fanning</m:t>
            </m:r>
          </m:sub>
        </m:sSub>
      </m:oMath>
      <w:r w:rsidR="00173873">
        <w:rPr>
          <w:rFonts w:eastAsiaTheme="minorEastAsia" w:cs="Arial"/>
          <w:szCs w:val="24"/>
        </w:rPr>
        <w:t xml:space="preserve">. Então a </w:t>
      </w:r>
      <w:r w:rsidR="00173873" w:rsidRPr="00173873">
        <w:rPr>
          <w:rFonts w:eastAsiaTheme="minorEastAsia" w:cs="Arial"/>
          <w:szCs w:val="24"/>
        </w:rPr>
        <w:fldChar w:fldCharType="begin"/>
      </w:r>
      <w:r w:rsidR="00173873" w:rsidRPr="00173873">
        <w:rPr>
          <w:rFonts w:eastAsiaTheme="minorEastAsia" w:cs="Arial"/>
          <w:szCs w:val="24"/>
        </w:rPr>
        <w:instrText xml:space="preserve"> REF _Ref488072837 \h </w:instrText>
      </w:r>
      <w:r w:rsidR="00173873" w:rsidRPr="00173873">
        <w:rPr>
          <w:rFonts w:eastAsiaTheme="minorEastAsia" w:cs="Arial"/>
          <w:szCs w:val="24"/>
        </w:rPr>
      </w:r>
      <w:r w:rsidR="00173873" w:rsidRPr="00173873">
        <w:rPr>
          <w:rFonts w:eastAsiaTheme="minorEastAsia" w:cs="Arial"/>
          <w:szCs w:val="24"/>
        </w:rPr>
        <w:fldChar w:fldCharType="separate"/>
      </w:r>
      <w:r w:rsidR="00173873" w:rsidRPr="00173873">
        <w:t xml:space="preserve">Equação </w:t>
      </w:r>
      <w:r w:rsidR="00173873" w:rsidRPr="00173873">
        <w:rPr>
          <w:noProof/>
        </w:rPr>
        <w:t>3</w:t>
      </w:r>
      <w:r w:rsidR="00173873" w:rsidRPr="00173873">
        <w:rPr>
          <w:rFonts w:eastAsiaTheme="minorEastAsia" w:cs="Arial"/>
          <w:szCs w:val="24"/>
        </w:rPr>
        <w:fldChar w:fldCharType="end"/>
      </w:r>
      <w:r w:rsidR="00173873">
        <w:rPr>
          <w:rFonts w:eastAsiaTheme="minorEastAsia" w:cs="Arial"/>
          <w:szCs w:val="24"/>
        </w:rPr>
        <w:t xml:space="preserve"> </w:t>
      </w:r>
      <w:r>
        <w:rPr>
          <w:rFonts w:eastAsiaTheme="minorEastAsia" w:cs="Arial"/>
          <w:szCs w:val="24"/>
        </w:rPr>
        <w:t>pode ser descrita por</w:t>
      </w:r>
      <w:r>
        <w:rPr>
          <w:rFonts w:cs="Arial"/>
          <w:szCs w:val="24"/>
        </w:rPr>
        <w:t>,</w:t>
      </w:r>
    </w:p>
    <w:tbl>
      <w:tblPr>
        <w:tblStyle w:val="Tabelacomgrade"/>
        <w:tblW w:w="0" w:type="auto"/>
        <w:tblCellMar>
          <w:left w:w="0" w:type="dxa"/>
          <w:right w:w="0" w:type="dxa"/>
        </w:tblCellMar>
        <w:tblLook w:val="04A0" w:firstRow="1" w:lastRow="0" w:firstColumn="1" w:lastColumn="0" w:noHBand="0" w:noVBand="1"/>
      </w:tblPr>
      <w:tblGrid>
        <w:gridCol w:w="8395"/>
        <w:gridCol w:w="676"/>
      </w:tblGrid>
      <w:tr w:rsidR="004B7BEE" w:rsidTr="00CF1DFD">
        <w:tc>
          <w:tcPr>
            <w:tcW w:w="8395" w:type="dxa"/>
            <w:tcBorders>
              <w:top w:val="nil"/>
              <w:left w:val="nil"/>
              <w:bottom w:val="nil"/>
              <w:right w:val="nil"/>
            </w:tcBorders>
            <w:vAlign w:val="center"/>
          </w:tcPr>
          <w:p w:rsidR="004B7BEE" w:rsidRDefault="00D83C6E" w:rsidP="00E57E6D">
            <w:pPr>
              <w:autoSpaceDE w:val="0"/>
              <w:autoSpaceDN w:val="0"/>
              <w:adjustRightInd w:val="0"/>
              <w:spacing w:after="0" w:line="240" w:lineRule="auto"/>
              <w:contextualSpacing w:val="0"/>
              <w:rPr>
                <w:rFonts w:cs="Arial"/>
                <w:szCs w:val="24"/>
              </w:rPr>
            </w:pPr>
            <m:oMathPara>
              <m:oMath>
                <m:sSubSup>
                  <m:sSubSupPr>
                    <m:ctrlPr>
                      <w:rPr>
                        <w:rFonts w:ascii="Cambria Math" w:hAnsi="Cambria Math" w:cs="Arial"/>
                        <w:i/>
                        <w:szCs w:val="24"/>
                      </w:rPr>
                    </m:ctrlPr>
                  </m:sSubSupPr>
                  <m:e>
                    <m:r>
                      <w:rPr>
                        <w:rFonts w:ascii="Cambria Math" w:hAnsi="Cambria Math" w:cs="Arial"/>
                        <w:szCs w:val="24"/>
                      </w:rPr>
                      <m:t>f</m:t>
                    </m:r>
                  </m:e>
                  <m:sub>
                    <m:r>
                      <w:rPr>
                        <w:rFonts w:ascii="Cambria Math" w:hAnsi="Cambria Math" w:cs="Arial"/>
                        <w:szCs w:val="24"/>
                      </w:rPr>
                      <m:t>Darcy</m:t>
                    </m:r>
                  </m:sub>
                  <m:sup>
                    <m:r>
                      <w:rPr>
                        <w:rFonts w:ascii="Cambria Math" w:hAnsi="Cambria Math" w:cs="Arial"/>
                        <w:szCs w:val="24"/>
                      </w:rPr>
                      <m:t>-1/2</m:t>
                    </m:r>
                  </m:sup>
                </m:sSubSup>
                <m:r>
                  <w:rPr>
                    <w:rFonts w:ascii="Cambria Math" w:hAnsi="Cambria Math" w:cs="Arial"/>
                    <w:szCs w:val="24"/>
                  </w:rPr>
                  <m:t xml:space="preserve">=9,5 </m:t>
                </m:r>
                <m:sSub>
                  <m:sSubPr>
                    <m:ctrlPr>
                      <w:rPr>
                        <w:rFonts w:ascii="Cambria Math" w:hAnsi="Cambria Math" w:cs="Arial"/>
                        <w:i/>
                        <w:szCs w:val="24"/>
                      </w:rPr>
                    </m:ctrlPr>
                  </m:sSubPr>
                  <m:e>
                    <m:r>
                      <w:rPr>
                        <w:rFonts w:ascii="Cambria Math" w:hAnsi="Cambria Math" w:cs="Arial"/>
                        <w:szCs w:val="24"/>
                      </w:rPr>
                      <m:t>log</m:t>
                    </m:r>
                  </m:e>
                  <m:sub>
                    <m:r>
                      <w:rPr>
                        <w:rFonts w:ascii="Cambria Math" w:hAnsi="Cambria Math" w:cs="Arial"/>
                        <w:szCs w:val="24"/>
                      </w:rPr>
                      <m:t>10</m:t>
                    </m:r>
                  </m:sub>
                </m:sSub>
                <m:d>
                  <m:dPr>
                    <m:ctrlPr>
                      <w:rPr>
                        <w:rFonts w:ascii="Cambria Math" w:hAnsi="Cambria Math" w:cs="Arial"/>
                        <w:i/>
                        <w:szCs w:val="24"/>
                      </w:rPr>
                    </m:ctrlPr>
                  </m:dPr>
                  <m:e>
                    <m:r>
                      <w:rPr>
                        <w:rFonts w:ascii="Cambria Math" w:hAnsi="Cambria Math" w:cs="Arial"/>
                        <w:szCs w:val="24"/>
                      </w:rPr>
                      <m:t>Re</m:t>
                    </m:r>
                    <m:rad>
                      <m:radPr>
                        <m:degHide m:val="1"/>
                        <m:ctrlPr>
                          <w:rPr>
                            <w:rFonts w:ascii="Cambria Math" w:hAnsi="Cambria Math" w:cs="Arial"/>
                            <w:i/>
                            <w:szCs w:val="24"/>
                          </w:rPr>
                        </m:ctrlPr>
                      </m:radPr>
                      <m:deg/>
                      <m:e>
                        <m:sSub>
                          <m:sSubPr>
                            <m:ctrlPr>
                              <w:rPr>
                                <w:rFonts w:ascii="Cambria Math" w:hAnsi="Cambria Math" w:cs="Arial"/>
                                <w:i/>
                                <w:szCs w:val="24"/>
                              </w:rPr>
                            </m:ctrlPr>
                          </m:sSubPr>
                          <m:e>
                            <m:r>
                              <w:rPr>
                                <w:rFonts w:ascii="Cambria Math" w:hAnsi="Cambria Math" w:cs="Arial"/>
                                <w:szCs w:val="24"/>
                              </w:rPr>
                              <m:t>f</m:t>
                            </m:r>
                          </m:e>
                          <m:sub>
                            <m:r>
                              <w:rPr>
                                <w:rFonts w:ascii="Cambria Math" w:hAnsi="Cambria Math" w:cs="Arial"/>
                                <w:szCs w:val="24"/>
                              </w:rPr>
                              <m:t>Darcy</m:t>
                            </m:r>
                          </m:sub>
                        </m:sSub>
                      </m:e>
                    </m:rad>
                  </m:e>
                </m:d>
                <m:r>
                  <w:rPr>
                    <w:rFonts w:ascii="Cambria Math" w:hAnsi="Cambria Math" w:cs="Arial"/>
                    <w:szCs w:val="24"/>
                  </w:rPr>
                  <m:t>-19,06</m:t>
                </m:r>
              </m:oMath>
            </m:oMathPara>
          </w:p>
        </w:tc>
        <w:tc>
          <w:tcPr>
            <w:tcW w:w="676" w:type="dxa"/>
            <w:tcBorders>
              <w:top w:val="nil"/>
              <w:left w:val="nil"/>
              <w:bottom w:val="nil"/>
              <w:right w:val="nil"/>
            </w:tcBorders>
            <w:vAlign w:val="center"/>
          </w:tcPr>
          <w:p w:rsidR="004B7BEE" w:rsidRDefault="006040DA" w:rsidP="00E57E6D">
            <w:pPr>
              <w:keepNext/>
              <w:autoSpaceDE w:val="0"/>
              <w:autoSpaceDN w:val="0"/>
              <w:adjustRightInd w:val="0"/>
              <w:spacing w:after="0" w:line="240" w:lineRule="auto"/>
              <w:contextualSpacing w:val="0"/>
              <w:jc w:val="center"/>
              <w:rPr>
                <w:rFonts w:cs="Arial"/>
                <w:szCs w:val="24"/>
              </w:rPr>
            </w:pPr>
            <w:r>
              <w:rPr>
                <w:rFonts w:cs="Arial"/>
                <w:szCs w:val="24"/>
              </w:rPr>
              <w:t>(</w:t>
            </w:r>
            <w:r w:rsidR="004B7BEE">
              <w:rPr>
                <w:rFonts w:cs="Arial"/>
                <w:szCs w:val="24"/>
              </w:rPr>
              <w:t>4)</w:t>
            </w:r>
          </w:p>
        </w:tc>
      </w:tr>
    </w:tbl>
    <w:p w:rsidR="006040DA" w:rsidRPr="00E57E6D" w:rsidRDefault="006040DA">
      <w:pPr>
        <w:pStyle w:val="Legenda"/>
        <w:rPr>
          <w:color w:val="FFFFFF" w:themeColor="background1"/>
        </w:rPr>
      </w:pPr>
      <w:r w:rsidRPr="00E57E6D">
        <w:rPr>
          <w:color w:val="FFFFFF" w:themeColor="background1"/>
        </w:rPr>
        <w:t xml:space="preserve">Equação </w:t>
      </w:r>
      <w:r w:rsidR="001144AF">
        <w:rPr>
          <w:color w:val="FFFFFF" w:themeColor="background1"/>
        </w:rPr>
        <w:fldChar w:fldCharType="begin"/>
      </w:r>
      <w:r w:rsidR="001144AF">
        <w:rPr>
          <w:color w:val="FFFFFF" w:themeColor="background1"/>
        </w:rPr>
        <w:instrText xml:space="preserve"> SEQ Equação \* ARABIC </w:instrText>
      </w:r>
      <w:r w:rsidR="001144AF">
        <w:rPr>
          <w:color w:val="FFFFFF" w:themeColor="background1"/>
        </w:rPr>
        <w:fldChar w:fldCharType="separate"/>
      </w:r>
      <w:r w:rsidR="001144AF">
        <w:rPr>
          <w:noProof/>
          <w:color w:val="FFFFFF" w:themeColor="background1"/>
        </w:rPr>
        <w:t>4</w:t>
      </w:r>
      <w:r w:rsidR="001144AF">
        <w:rPr>
          <w:color w:val="FFFFFF" w:themeColor="background1"/>
        </w:rPr>
        <w:fldChar w:fldCharType="end"/>
      </w:r>
    </w:p>
    <w:p w:rsidR="004B7BEE" w:rsidRPr="00C21094" w:rsidRDefault="00A11265" w:rsidP="00B67D55">
      <w:pPr>
        <w:autoSpaceDE w:val="0"/>
        <w:autoSpaceDN w:val="0"/>
        <w:adjustRightInd w:val="0"/>
        <w:contextualSpacing w:val="0"/>
        <w:rPr>
          <w:rFonts w:cs="Arial"/>
          <w:szCs w:val="24"/>
        </w:rPr>
      </w:pPr>
      <w:r w:rsidRPr="00C21094">
        <w:rPr>
          <w:rFonts w:cs="Arial"/>
          <w:szCs w:val="24"/>
        </w:rPr>
        <w:t xml:space="preserve">O patamar de máxima redução de arraste pode ser alcançado de algumas maneiras, uma delas é fixando a concentração e aumentando o número de Reynolds. Outra se dá fixando o número de Reynolds e aumentando a concentração do polímero na </w:t>
      </w:r>
      <w:r w:rsidR="004B7BEE" w:rsidRPr="00C21094">
        <w:rPr>
          <w:rFonts w:cs="Arial"/>
          <w:szCs w:val="24"/>
        </w:rPr>
        <w:t>solução.</w:t>
      </w:r>
      <w:r w:rsidRPr="00C21094">
        <w:rPr>
          <w:rFonts w:cs="Arial"/>
          <w:szCs w:val="24"/>
        </w:rPr>
        <w:t xml:space="preserve"> Além das duas maneiras citadas é possível alcançar o patamar de máxima redução de arraste aumentando-se o peso molecular do polímero </w:t>
      </w:r>
      <w:r w:rsidR="00C21094" w:rsidRPr="00C21094">
        <w:rPr>
          <w:rFonts w:cs="Arial"/>
          <w:szCs w:val="24"/>
        </w:rPr>
        <w:t>[5]</w:t>
      </w:r>
      <w:r w:rsidRPr="00C21094">
        <w:rPr>
          <w:rFonts w:cs="Arial"/>
          <w:szCs w:val="24"/>
        </w:rPr>
        <w:t xml:space="preserve">. </w:t>
      </w:r>
      <w:r w:rsidR="004B7BEE" w:rsidRPr="00C21094">
        <w:rPr>
          <w:rFonts w:cs="Arial"/>
          <w:szCs w:val="24"/>
        </w:rPr>
        <w:t>Todavia, q</w:t>
      </w:r>
      <w:r w:rsidRPr="00C21094">
        <w:rPr>
          <w:rFonts w:cs="Arial"/>
          <w:szCs w:val="24"/>
        </w:rPr>
        <w:t xml:space="preserve">uando a máxima redução de arraste é alcançada </w:t>
      </w:r>
      <w:r w:rsidR="00423FE7" w:rsidRPr="00C21094">
        <w:rPr>
          <w:rFonts w:cs="Arial"/>
          <w:szCs w:val="24"/>
        </w:rPr>
        <w:t xml:space="preserve">por meio </w:t>
      </w:r>
      <w:r w:rsidRPr="00C21094">
        <w:rPr>
          <w:rFonts w:cs="Arial"/>
          <w:szCs w:val="24"/>
        </w:rPr>
        <w:t>do aumento da concentração, qualquer incremento da mesma irá ocasionar um aumento do arraste</w:t>
      </w:r>
      <w:r w:rsidR="004B7BEE" w:rsidRPr="00C21094">
        <w:rPr>
          <w:rFonts w:cs="Arial"/>
          <w:szCs w:val="24"/>
        </w:rPr>
        <w:t>.</w:t>
      </w:r>
      <w:r w:rsidR="00C21094" w:rsidRPr="00C21094">
        <w:rPr>
          <w:rFonts w:cs="Arial"/>
          <w:szCs w:val="24"/>
        </w:rPr>
        <w:t xml:space="preserve"> [13]</w:t>
      </w:r>
    </w:p>
    <w:p w:rsidR="00A11265" w:rsidRDefault="00B86434" w:rsidP="00B67D55">
      <w:pPr>
        <w:autoSpaceDE w:val="0"/>
        <w:autoSpaceDN w:val="0"/>
        <w:adjustRightInd w:val="0"/>
        <w:contextualSpacing w:val="0"/>
        <w:rPr>
          <w:rFonts w:cs="Arial"/>
          <w:szCs w:val="24"/>
        </w:rPr>
      </w:pPr>
      <w:r w:rsidRPr="00B86434">
        <w:rPr>
          <w:rFonts w:cs="Arial"/>
          <w:szCs w:val="24"/>
        </w:rPr>
        <w:t xml:space="preserve">A primeira aplicação comercial de polímeros redutores de arraste foi realizada </w:t>
      </w:r>
      <w:r w:rsidR="00EA7A69">
        <w:rPr>
          <w:rFonts w:cs="Arial"/>
          <w:szCs w:val="24"/>
        </w:rPr>
        <w:t>em</w:t>
      </w:r>
      <w:r w:rsidR="00EA7A69" w:rsidRPr="00C21094">
        <w:rPr>
          <w:rFonts w:cs="Arial"/>
          <w:szCs w:val="24"/>
        </w:rPr>
        <w:t xml:space="preserve"> 1979 </w:t>
      </w:r>
      <w:r w:rsidRPr="00C21094">
        <w:rPr>
          <w:rFonts w:cs="Arial"/>
          <w:szCs w:val="24"/>
        </w:rPr>
        <w:t xml:space="preserve">nas tubulações </w:t>
      </w:r>
      <w:r w:rsidR="00EA7A69" w:rsidRPr="00C21094">
        <w:rPr>
          <w:rFonts w:cs="Arial"/>
          <w:szCs w:val="24"/>
        </w:rPr>
        <w:t>da Trans-Alaska Pipeline, um oleoduto com mais de 1200 km de extensão, ligando o norte do Alaska a Valdez, no sul do estado norte-americano</w:t>
      </w:r>
      <w:r w:rsidR="00EB6805" w:rsidRPr="00C21094">
        <w:rPr>
          <w:rFonts w:cs="Arial"/>
          <w:szCs w:val="24"/>
        </w:rPr>
        <w:t xml:space="preserve"> </w:t>
      </w:r>
      <w:r w:rsidR="00C21094" w:rsidRPr="00C21094">
        <w:rPr>
          <w:rFonts w:cs="Arial"/>
          <w:szCs w:val="24"/>
        </w:rPr>
        <w:t>[14</w:t>
      </w:r>
      <w:r w:rsidR="00EB6805" w:rsidRPr="00C21094">
        <w:rPr>
          <w:rFonts w:cs="Arial"/>
          <w:szCs w:val="24"/>
        </w:rPr>
        <w:t>]</w:t>
      </w:r>
      <w:r w:rsidR="00EA7A69" w:rsidRPr="00C21094">
        <w:rPr>
          <w:rFonts w:cs="Arial"/>
          <w:szCs w:val="24"/>
        </w:rPr>
        <w:t>.</w:t>
      </w:r>
      <w:r w:rsidR="00EA7A69">
        <w:rPr>
          <w:rFonts w:cs="Arial"/>
          <w:szCs w:val="24"/>
        </w:rPr>
        <w:t xml:space="preserve"> Com tubulações </w:t>
      </w:r>
      <w:r w:rsidR="00EA7A69" w:rsidRPr="00EB6805">
        <w:rPr>
          <w:rFonts w:cs="Arial"/>
          <w:szCs w:val="24"/>
        </w:rPr>
        <w:t xml:space="preserve">de cerca de 1,22 metros de </w:t>
      </w:r>
      <w:r w:rsidR="00EB6805" w:rsidRPr="00EB6805">
        <w:rPr>
          <w:rFonts w:cs="Arial"/>
          <w:szCs w:val="24"/>
        </w:rPr>
        <w:t>diâmetro</w:t>
      </w:r>
      <w:r w:rsidR="00B67D55" w:rsidRPr="00EB6805">
        <w:rPr>
          <w:rFonts w:cs="Arial"/>
          <w:szCs w:val="24"/>
        </w:rPr>
        <w:t>,</w:t>
      </w:r>
      <w:r w:rsidR="00EB6805" w:rsidRPr="00EB6805">
        <w:rPr>
          <w:rFonts w:cs="Arial"/>
          <w:szCs w:val="24"/>
        </w:rPr>
        <w:t xml:space="preserve"> este oleoduto</w:t>
      </w:r>
      <w:r w:rsidR="00B67D55" w:rsidRPr="00EB6805">
        <w:rPr>
          <w:rFonts w:cs="Arial"/>
          <w:szCs w:val="24"/>
        </w:rPr>
        <w:t xml:space="preserve"> possui 12 estações de bombeamento ao longo do comprimento</w:t>
      </w:r>
      <w:r w:rsidR="00A11265">
        <w:rPr>
          <w:rFonts w:cs="Arial"/>
          <w:szCs w:val="24"/>
        </w:rPr>
        <w:t xml:space="preserve"> (</w:t>
      </w:r>
      <w:r w:rsidR="00E57E6D">
        <w:rPr>
          <w:rFonts w:cs="Arial"/>
          <w:color w:val="FF0000"/>
          <w:szCs w:val="24"/>
        </w:rPr>
        <w:fldChar w:fldCharType="begin"/>
      </w:r>
      <w:r w:rsidR="00E57E6D">
        <w:rPr>
          <w:rFonts w:cs="Arial"/>
          <w:color w:val="FF0000"/>
          <w:szCs w:val="24"/>
        </w:rPr>
        <w:instrText xml:space="preserve"> REF _Ref488072907 \h </w:instrText>
      </w:r>
      <w:r w:rsidR="00E57E6D">
        <w:rPr>
          <w:rFonts w:cs="Arial"/>
          <w:color w:val="FF0000"/>
          <w:szCs w:val="24"/>
        </w:rPr>
      </w:r>
      <w:r w:rsidR="00E57E6D">
        <w:rPr>
          <w:rFonts w:cs="Arial"/>
          <w:color w:val="FF0000"/>
          <w:szCs w:val="24"/>
        </w:rPr>
        <w:fldChar w:fldCharType="separate"/>
      </w:r>
      <w:r w:rsidR="00771C7D" w:rsidRPr="002855BE">
        <w:t xml:space="preserve">Figura </w:t>
      </w:r>
      <w:r w:rsidR="00771C7D">
        <w:rPr>
          <w:noProof/>
        </w:rPr>
        <w:t>2</w:t>
      </w:r>
      <w:r w:rsidR="00E57E6D">
        <w:rPr>
          <w:rFonts w:cs="Arial"/>
          <w:color w:val="FF0000"/>
          <w:szCs w:val="24"/>
        </w:rPr>
        <w:fldChar w:fldCharType="end"/>
      </w:r>
      <w:r w:rsidR="00A11265">
        <w:rPr>
          <w:rFonts w:cs="Arial"/>
          <w:szCs w:val="24"/>
        </w:rPr>
        <w:t>).</w:t>
      </w:r>
    </w:p>
    <w:p w:rsidR="00771C7D" w:rsidRDefault="00771C7D" w:rsidP="00B67D55">
      <w:pPr>
        <w:autoSpaceDE w:val="0"/>
        <w:autoSpaceDN w:val="0"/>
        <w:adjustRightInd w:val="0"/>
        <w:contextualSpacing w:val="0"/>
        <w:rPr>
          <w:rFonts w:cs="Arial"/>
          <w:szCs w:val="24"/>
        </w:rPr>
      </w:pPr>
    </w:p>
    <w:p w:rsidR="0061311A" w:rsidRDefault="0061311A" w:rsidP="00B67D55">
      <w:pPr>
        <w:autoSpaceDE w:val="0"/>
        <w:autoSpaceDN w:val="0"/>
        <w:adjustRightInd w:val="0"/>
        <w:contextualSpacing w:val="0"/>
        <w:rPr>
          <w:rFonts w:cs="Arial"/>
          <w:szCs w:val="24"/>
        </w:rPr>
      </w:pPr>
    </w:p>
    <w:p w:rsidR="0061311A" w:rsidRDefault="0061311A" w:rsidP="00B67D55">
      <w:pPr>
        <w:autoSpaceDE w:val="0"/>
        <w:autoSpaceDN w:val="0"/>
        <w:adjustRightInd w:val="0"/>
        <w:contextualSpacing w:val="0"/>
        <w:rPr>
          <w:rFonts w:cs="Arial"/>
          <w:szCs w:val="24"/>
        </w:rPr>
      </w:pPr>
    </w:p>
    <w:p w:rsidR="0061311A" w:rsidRDefault="0061311A" w:rsidP="00B67D55">
      <w:pPr>
        <w:autoSpaceDE w:val="0"/>
        <w:autoSpaceDN w:val="0"/>
        <w:adjustRightInd w:val="0"/>
        <w:contextualSpacing w:val="0"/>
        <w:rPr>
          <w:rFonts w:cs="Arial"/>
          <w:szCs w:val="24"/>
        </w:rPr>
      </w:pPr>
    </w:p>
    <w:p w:rsidR="00A11265" w:rsidRPr="002855BE" w:rsidRDefault="00A11265" w:rsidP="00771C7D">
      <w:pPr>
        <w:pStyle w:val="Figura-PG"/>
      </w:pPr>
      <w:bookmarkStart w:id="13" w:name="_Ref488072907"/>
      <w:bookmarkStart w:id="14" w:name="_Toc488706043"/>
      <w:bookmarkStart w:id="15" w:name="_Ref488072904"/>
      <w:r w:rsidRPr="002855BE">
        <w:lastRenderedPageBreak/>
        <w:t xml:space="preserve">Figura </w:t>
      </w:r>
      <w:fldSimple w:instr=" SEQ Figura \* ARABIC ">
        <w:r w:rsidR="004C240D">
          <w:rPr>
            <w:noProof/>
          </w:rPr>
          <w:t>2</w:t>
        </w:r>
      </w:fldSimple>
      <w:bookmarkEnd w:id="13"/>
      <w:r w:rsidR="0051480C">
        <w:t xml:space="preserve"> - </w:t>
      </w:r>
      <w:r w:rsidRPr="002855BE">
        <w:t>Mapa do oleoduto Trans-Alaska, evidenciando as 12 unidades de bombeamento</w:t>
      </w:r>
      <w:r w:rsidR="00771C7D">
        <w:t>.</w:t>
      </w:r>
      <w:bookmarkEnd w:id="14"/>
      <w:r w:rsidRPr="002855BE">
        <w:t xml:space="preserve"> </w:t>
      </w:r>
      <w:bookmarkEnd w:id="15"/>
    </w:p>
    <w:p w:rsidR="00A11265" w:rsidRDefault="00A11265" w:rsidP="00771C7D">
      <w:pPr>
        <w:autoSpaceDE w:val="0"/>
        <w:autoSpaceDN w:val="0"/>
        <w:adjustRightInd w:val="0"/>
        <w:spacing w:after="0"/>
        <w:contextualSpacing w:val="0"/>
        <w:jc w:val="center"/>
        <w:rPr>
          <w:rFonts w:cs="Arial"/>
          <w:szCs w:val="24"/>
        </w:rPr>
      </w:pPr>
      <w:r>
        <w:rPr>
          <w:noProof/>
          <w:lang w:eastAsia="pt-BR"/>
        </w:rPr>
        <w:drawing>
          <wp:inline distT="0" distB="0" distL="0" distR="0" wp14:anchorId="637EA07D" wp14:editId="0BDFC6C9">
            <wp:extent cx="4146340" cy="3619500"/>
            <wp:effectExtent l="0" t="0" r="698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6723" b="6759"/>
                    <a:stretch/>
                  </pic:blipFill>
                  <pic:spPr bwMode="auto">
                    <a:xfrm>
                      <a:off x="0" y="0"/>
                      <a:ext cx="4189294" cy="3656997"/>
                    </a:xfrm>
                    <a:prstGeom prst="rect">
                      <a:avLst/>
                    </a:prstGeom>
                    <a:ln>
                      <a:noFill/>
                    </a:ln>
                    <a:extLst>
                      <a:ext uri="{53640926-AAD7-44D8-BBD7-CCE9431645EC}">
                        <a14:shadowObscured xmlns:a14="http://schemas.microsoft.com/office/drawing/2010/main"/>
                      </a:ext>
                    </a:extLst>
                  </pic:spPr>
                </pic:pic>
              </a:graphicData>
            </a:graphic>
          </wp:inline>
        </w:drawing>
      </w:r>
    </w:p>
    <w:p w:rsidR="00771C7D" w:rsidRDefault="00771C7D" w:rsidP="00A11265">
      <w:pPr>
        <w:autoSpaceDE w:val="0"/>
        <w:autoSpaceDN w:val="0"/>
        <w:adjustRightInd w:val="0"/>
        <w:contextualSpacing w:val="0"/>
        <w:jc w:val="center"/>
        <w:rPr>
          <w:rFonts w:cs="Arial"/>
          <w:szCs w:val="24"/>
        </w:rPr>
      </w:pPr>
      <w:r>
        <w:rPr>
          <w:rFonts w:cs="Arial"/>
          <w:szCs w:val="24"/>
        </w:rPr>
        <w:t xml:space="preserve">Fonte: </w:t>
      </w:r>
      <w:r w:rsidR="0051480C">
        <w:rPr>
          <w:rFonts w:cs="Arial"/>
          <w:szCs w:val="24"/>
        </w:rPr>
        <w:t>(</w:t>
      </w:r>
      <w:r w:rsidR="00CB0CA2">
        <w:rPr>
          <w:rFonts w:cs="Arial"/>
          <w:szCs w:val="24"/>
        </w:rPr>
        <w:t>SOLCOMHOUSE</w:t>
      </w:r>
      <w:r w:rsidR="0051480C">
        <w:rPr>
          <w:rFonts w:cs="Arial"/>
          <w:szCs w:val="24"/>
        </w:rPr>
        <w:t>, 2016)</w:t>
      </w:r>
    </w:p>
    <w:p w:rsidR="00564188" w:rsidRDefault="00EB6805" w:rsidP="00771C7D">
      <w:pPr>
        <w:autoSpaceDE w:val="0"/>
        <w:autoSpaceDN w:val="0"/>
        <w:adjustRightInd w:val="0"/>
        <w:contextualSpacing w:val="0"/>
        <w:rPr>
          <w:rFonts w:cs="Arial"/>
          <w:szCs w:val="24"/>
        </w:rPr>
      </w:pPr>
      <w:r w:rsidRPr="00C21094">
        <w:rPr>
          <w:rFonts w:cs="Arial"/>
          <w:szCs w:val="24"/>
        </w:rPr>
        <w:t xml:space="preserve">O aditivo redutor de arraste utilizado fora o CDR, um aditivo polimérico de alto peso molecular que se provou efetivo a baixas concentrações. Também foi identificado por </w:t>
      </w:r>
      <w:r w:rsidR="00C21094" w:rsidRPr="00C21094">
        <w:rPr>
          <w:rFonts w:cs="Arial"/>
          <w:szCs w:val="24"/>
        </w:rPr>
        <w:t>[14</w:t>
      </w:r>
      <w:r w:rsidRPr="00C21094">
        <w:rPr>
          <w:rFonts w:cs="Arial"/>
          <w:szCs w:val="24"/>
        </w:rPr>
        <w:t xml:space="preserve">] </w:t>
      </w:r>
      <w:r>
        <w:rPr>
          <w:rFonts w:cs="Arial"/>
          <w:szCs w:val="24"/>
        </w:rPr>
        <w:t xml:space="preserve">que a ação das bombas centrífugas ao longo da linha principal degradam o polímero, portanto múltiplas injeções seriam necessárias em pontos chave para que se </w:t>
      </w:r>
      <w:r w:rsidR="00FE4ADD">
        <w:rPr>
          <w:rFonts w:cs="Arial"/>
          <w:szCs w:val="24"/>
        </w:rPr>
        <w:t xml:space="preserve">garantisse a ação ao longo de todo o trecho. A </w:t>
      </w:r>
      <w:r w:rsidR="0061311A">
        <w:rPr>
          <w:rFonts w:cs="Arial"/>
          <w:szCs w:val="24"/>
        </w:rPr>
        <w:fldChar w:fldCharType="begin"/>
      </w:r>
      <w:r w:rsidR="0061311A">
        <w:rPr>
          <w:rFonts w:cs="Arial"/>
          <w:szCs w:val="24"/>
        </w:rPr>
        <w:instrText xml:space="preserve"> REF _Ref488416433 \h </w:instrText>
      </w:r>
      <w:r w:rsidR="0061311A">
        <w:rPr>
          <w:rFonts w:cs="Arial"/>
          <w:szCs w:val="24"/>
        </w:rPr>
      </w:r>
      <w:r w:rsidR="0061311A">
        <w:rPr>
          <w:rFonts w:cs="Arial"/>
          <w:szCs w:val="24"/>
        </w:rPr>
        <w:fldChar w:fldCharType="separate"/>
      </w:r>
      <w:r w:rsidR="0061311A" w:rsidRPr="00771C7D">
        <w:t>Figura 3</w:t>
      </w:r>
      <w:r w:rsidR="0061311A">
        <w:rPr>
          <w:rFonts w:cs="Arial"/>
          <w:szCs w:val="24"/>
        </w:rPr>
        <w:fldChar w:fldCharType="end"/>
      </w:r>
      <w:r w:rsidR="0061311A">
        <w:rPr>
          <w:rFonts w:cs="Arial"/>
          <w:szCs w:val="24"/>
        </w:rPr>
        <w:fldChar w:fldCharType="begin"/>
      </w:r>
      <w:r w:rsidR="0061311A">
        <w:rPr>
          <w:rFonts w:cs="Arial"/>
          <w:szCs w:val="24"/>
        </w:rPr>
        <w:instrText xml:space="preserve"> REF _Ref488073002 \h </w:instrText>
      </w:r>
      <w:r w:rsidR="0061311A">
        <w:rPr>
          <w:rFonts w:cs="Arial"/>
          <w:szCs w:val="24"/>
        </w:rPr>
      </w:r>
      <w:r w:rsidR="0061311A">
        <w:rPr>
          <w:rFonts w:cs="Arial"/>
          <w:szCs w:val="24"/>
        </w:rPr>
        <w:fldChar w:fldCharType="end"/>
      </w:r>
      <w:r w:rsidR="0061311A">
        <w:rPr>
          <w:rFonts w:cs="Arial"/>
          <w:szCs w:val="24"/>
        </w:rPr>
        <w:t xml:space="preserve"> </w:t>
      </w:r>
      <w:r w:rsidR="00FE4ADD">
        <w:rPr>
          <w:rFonts w:cs="Arial"/>
          <w:szCs w:val="24"/>
        </w:rPr>
        <w:t>demonstra a</w:t>
      </w:r>
      <w:r w:rsidR="007F0A6C">
        <w:rPr>
          <w:rFonts w:cs="Arial"/>
          <w:szCs w:val="24"/>
        </w:rPr>
        <w:t>s diferentes reduções</w:t>
      </w:r>
      <w:r w:rsidR="00FE4ADD">
        <w:rPr>
          <w:rFonts w:cs="Arial"/>
          <w:szCs w:val="24"/>
        </w:rPr>
        <w:t xml:space="preserve"> de arraste alca</w:t>
      </w:r>
      <w:r w:rsidR="007F0A6C">
        <w:rPr>
          <w:rFonts w:cs="Arial"/>
          <w:szCs w:val="24"/>
        </w:rPr>
        <w:t>nçadas na tubulação quando pequenas concentrações do polímero CDR é injetada</w:t>
      </w:r>
      <w:r w:rsidR="00FE4ADD">
        <w:rPr>
          <w:rFonts w:cs="Arial"/>
          <w:szCs w:val="24"/>
        </w:rPr>
        <w:t>.</w:t>
      </w:r>
    </w:p>
    <w:p w:rsidR="00F822E4" w:rsidRDefault="00F822E4" w:rsidP="00771C7D">
      <w:pPr>
        <w:autoSpaceDE w:val="0"/>
        <w:autoSpaceDN w:val="0"/>
        <w:adjustRightInd w:val="0"/>
        <w:contextualSpacing w:val="0"/>
        <w:rPr>
          <w:rFonts w:cs="Arial"/>
          <w:szCs w:val="24"/>
        </w:rPr>
      </w:pPr>
    </w:p>
    <w:p w:rsidR="00F822E4" w:rsidRDefault="00F822E4" w:rsidP="00771C7D">
      <w:pPr>
        <w:autoSpaceDE w:val="0"/>
        <w:autoSpaceDN w:val="0"/>
        <w:adjustRightInd w:val="0"/>
        <w:contextualSpacing w:val="0"/>
        <w:rPr>
          <w:rFonts w:cs="Arial"/>
          <w:szCs w:val="24"/>
        </w:rPr>
      </w:pPr>
    </w:p>
    <w:p w:rsidR="00F822E4" w:rsidRDefault="00F822E4" w:rsidP="00771C7D">
      <w:pPr>
        <w:autoSpaceDE w:val="0"/>
        <w:autoSpaceDN w:val="0"/>
        <w:adjustRightInd w:val="0"/>
        <w:contextualSpacing w:val="0"/>
        <w:rPr>
          <w:rFonts w:cs="Arial"/>
          <w:szCs w:val="24"/>
        </w:rPr>
      </w:pPr>
    </w:p>
    <w:p w:rsidR="00F822E4" w:rsidRDefault="00F822E4" w:rsidP="00771C7D">
      <w:pPr>
        <w:autoSpaceDE w:val="0"/>
        <w:autoSpaceDN w:val="0"/>
        <w:adjustRightInd w:val="0"/>
        <w:contextualSpacing w:val="0"/>
        <w:rPr>
          <w:rFonts w:cs="Arial"/>
          <w:szCs w:val="24"/>
        </w:rPr>
      </w:pPr>
    </w:p>
    <w:p w:rsidR="00F822E4" w:rsidRDefault="00F822E4" w:rsidP="00771C7D">
      <w:pPr>
        <w:autoSpaceDE w:val="0"/>
        <w:autoSpaceDN w:val="0"/>
        <w:adjustRightInd w:val="0"/>
        <w:contextualSpacing w:val="0"/>
        <w:rPr>
          <w:rFonts w:cs="Arial"/>
          <w:szCs w:val="24"/>
        </w:rPr>
      </w:pPr>
    </w:p>
    <w:p w:rsidR="00F822E4" w:rsidRDefault="00F822E4" w:rsidP="00771C7D">
      <w:pPr>
        <w:autoSpaceDE w:val="0"/>
        <w:autoSpaceDN w:val="0"/>
        <w:adjustRightInd w:val="0"/>
        <w:contextualSpacing w:val="0"/>
        <w:rPr>
          <w:rFonts w:cs="Arial"/>
          <w:szCs w:val="24"/>
        </w:rPr>
      </w:pPr>
    </w:p>
    <w:p w:rsidR="00F822E4" w:rsidRDefault="00F822E4" w:rsidP="00771C7D">
      <w:pPr>
        <w:autoSpaceDE w:val="0"/>
        <w:autoSpaceDN w:val="0"/>
        <w:adjustRightInd w:val="0"/>
        <w:contextualSpacing w:val="0"/>
        <w:rPr>
          <w:rFonts w:cs="Arial"/>
          <w:szCs w:val="24"/>
        </w:rPr>
      </w:pPr>
    </w:p>
    <w:p w:rsidR="00771C7D" w:rsidRPr="00771C7D" w:rsidRDefault="00771C7D" w:rsidP="00771C7D">
      <w:pPr>
        <w:pStyle w:val="Figura-PG"/>
      </w:pPr>
      <w:bookmarkStart w:id="16" w:name="_Ref488416433"/>
      <w:bookmarkStart w:id="17" w:name="_Toc488706044"/>
      <w:r w:rsidRPr="00771C7D">
        <w:lastRenderedPageBreak/>
        <w:t xml:space="preserve">Figura </w:t>
      </w:r>
      <w:fldSimple w:instr=" SEQ Figura \* ARABIC ">
        <w:r w:rsidR="004C240D">
          <w:rPr>
            <w:noProof/>
          </w:rPr>
          <w:t>3</w:t>
        </w:r>
      </w:fldSimple>
      <w:bookmarkEnd w:id="16"/>
      <w:r w:rsidR="00450291">
        <w:rPr>
          <w:noProof/>
        </w:rPr>
        <w:t xml:space="preserve"> </w:t>
      </w:r>
      <w:r w:rsidR="00450291">
        <w:t xml:space="preserve">- </w:t>
      </w:r>
      <w:r w:rsidRPr="00771C7D">
        <w:t>Dados de redução de arraste ao longo do tempo nas tubulações entre as est</w:t>
      </w:r>
      <w:r w:rsidR="00925981">
        <w:t>ações de bombeamento PS1, PS2</w:t>
      </w:r>
      <w:r w:rsidRPr="00771C7D">
        <w:t xml:space="preserve"> e PS3 do ol</w:t>
      </w:r>
      <w:r w:rsidR="00BB780A">
        <w:t>eoduto Trans-Alaska.</w:t>
      </w:r>
      <w:bookmarkEnd w:id="17"/>
      <w:r w:rsidR="00BB780A">
        <w:t xml:space="preserve"> </w:t>
      </w:r>
    </w:p>
    <w:p w:rsidR="007F0A6C" w:rsidRDefault="007F0A6C" w:rsidP="00564188">
      <w:pPr>
        <w:jc w:val="center"/>
      </w:pPr>
      <w:r>
        <w:rPr>
          <w:noProof/>
          <w:lang w:eastAsia="pt-BR"/>
        </w:rPr>
        <w:drawing>
          <wp:inline distT="0" distB="0" distL="0" distR="0" wp14:anchorId="4992FA8F" wp14:editId="26A3118C">
            <wp:extent cx="4320000" cy="2596702"/>
            <wp:effectExtent l="0" t="0" r="444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555" b="1311"/>
                    <a:stretch/>
                  </pic:blipFill>
                  <pic:spPr bwMode="auto">
                    <a:xfrm>
                      <a:off x="0" y="0"/>
                      <a:ext cx="4320000" cy="2596702"/>
                    </a:xfrm>
                    <a:prstGeom prst="rect">
                      <a:avLst/>
                    </a:prstGeom>
                    <a:ln>
                      <a:noFill/>
                    </a:ln>
                    <a:extLst>
                      <a:ext uri="{53640926-AAD7-44D8-BBD7-CCE9431645EC}">
                        <a14:shadowObscured xmlns:a14="http://schemas.microsoft.com/office/drawing/2010/main"/>
                      </a:ext>
                    </a:extLst>
                  </pic:spPr>
                </pic:pic>
              </a:graphicData>
            </a:graphic>
          </wp:inline>
        </w:drawing>
      </w:r>
    </w:p>
    <w:p w:rsidR="00BB780A" w:rsidRDefault="00BB780A" w:rsidP="00BB780A">
      <w:pPr>
        <w:autoSpaceDE w:val="0"/>
        <w:autoSpaceDN w:val="0"/>
        <w:adjustRightInd w:val="0"/>
        <w:spacing w:after="0"/>
        <w:contextualSpacing w:val="0"/>
        <w:jc w:val="center"/>
      </w:pPr>
      <w:r>
        <w:t>Fonte: (</w:t>
      </w:r>
      <w:r w:rsidR="00CB0CA2">
        <w:t xml:space="preserve">BURGER </w:t>
      </w:r>
      <w:r>
        <w:t>et al., 1982)</w:t>
      </w:r>
    </w:p>
    <w:p w:rsidR="004B7BEE" w:rsidRPr="00564188" w:rsidRDefault="004B7BEE" w:rsidP="004B7BEE">
      <w:pPr>
        <w:autoSpaceDE w:val="0"/>
        <w:autoSpaceDN w:val="0"/>
        <w:adjustRightInd w:val="0"/>
        <w:contextualSpacing w:val="0"/>
        <w:rPr>
          <w:rFonts w:cs="Arial"/>
          <w:szCs w:val="24"/>
        </w:rPr>
      </w:pPr>
      <w:r w:rsidRPr="00564188">
        <w:rPr>
          <w:rFonts w:cs="Arial"/>
          <w:szCs w:val="24"/>
        </w:rPr>
        <w:t>Apesar de haver muitos estudos sobre a redução de arr</w:t>
      </w:r>
      <w:r w:rsidR="0061311A" w:rsidRPr="00564188">
        <w:rPr>
          <w:rFonts w:cs="Arial"/>
          <w:szCs w:val="24"/>
        </w:rPr>
        <w:t xml:space="preserve">aste, ainda não existem teorias </w:t>
      </w:r>
      <w:r w:rsidRPr="00564188">
        <w:rPr>
          <w:rFonts w:cs="Arial"/>
          <w:szCs w:val="24"/>
        </w:rPr>
        <w:t xml:space="preserve">completamente aceitas para explicar seu mecanismo físico. Pode-se dividir as teorias nas abordagens baseadas nos efeitos viscosos </w:t>
      </w:r>
      <w:r w:rsidR="00564188" w:rsidRPr="00564188">
        <w:rPr>
          <w:rFonts w:cs="Arial"/>
          <w:szCs w:val="24"/>
        </w:rPr>
        <w:t>[12</w:t>
      </w:r>
      <w:r w:rsidR="00974DED" w:rsidRPr="00564188">
        <w:rPr>
          <w:rFonts w:cs="Arial"/>
          <w:szCs w:val="24"/>
        </w:rPr>
        <w:t>]</w:t>
      </w:r>
      <w:r w:rsidR="00974DED" w:rsidRPr="001D7C49">
        <w:rPr>
          <w:rFonts w:cs="Arial"/>
          <w:color w:val="FF0000"/>
          <w:szCs w:val="24"/>
        </w:rPr>
        <w:t xml:space="preserve"> </w:t>
      </w:r>
      <w:r w:rsidR="00974DED">
        <w:rPr>
          <w:rFonts w:cs="Arial"/>
          <w:szCs w:val="24"/>
        </w:rPr>
        <w:t xml:space="preserve">e outras baseadas </w:t>
      </w:r>
      <w:r w:rsidRPr="004B7BEE">
        <w:rPr>
          <w:rFonts w:cs="Arial"/>
          <w:szCs w:val="24"/>
        </w:rPr>
        <w:t xml:space="preserve">nos efeitos </w:t>
      </w:r>
      <w:r w:rsidRPr="00564188">
        <w:rPr>
          <w:rFonts w:cs="Arial"/>
          <w:szCs w:val="24"/>
        </w:rPr>
        <w:t>elásticos</w:t>
      </w:r>
      <w:r w:rsidR="00974DED" w:rsidRPr="00564188">
        <w:rPr>
          <w:rFonts w:cs="Arial"/>
          <w:szCs w:val="24"/>
        </w:rPr>
        <w:t xml:space="preserve"> </w:t>
      </w:r>
      <w:r w:rsidRPr="00564188">
        <w:rPr>
          <w:rFonts w:cs="Arial"/>
          <w:szCs w:val="24"/>
        </w:rPr>
        <w:t>[</w:t>
      </w:r>
      <w:r w:rsidR="00974DED" w:rsidRPr="00564188">
        <w:rPr>
          <w:rFonts w:cs="Arial"/>
          <w:szCs w:val="24"/>
        </w:rPr>
        <w:t>15</w:t>
      </w:r>
      <w:r w:rsidRPr="00564188">
        <w:rPr>
          <w:rFonts w:cs="Arial"/>
          <w:szCs w:val="24"/>
        </w:rPr>
        <w:t>].</w:t>
      </w:r>
    </w:p>
    <w:p w:rsidR="00173873" w:rsidRPr="00564188" w:rsidRDefault="00974DED" w:rsidP="00974DED">
      <w:pPr>
        <w:autoSpaceDE w:val="0"/>
        <w:autoSpaceDN w:val="0"/>
        <w:adjustRightInd w:val="0"/>
        <w:contextualSpacing w:val="0"/>
        <w:rPr>
          <w:rFonts w:cs="Arial"/>
          <w:color w:val="FF0000"/>
          <w:szCs w:val="24"/>
        </w:rPr>
      </w:pPr>
      <w:r w:rsidRPr="00564188">
        <w:rPr>
          <w:rFonts w:cs="Arial"/>
          <w:szCs w:val="24"/>
        </w:rPr>
        <w:t>Lumley</w:t>
      </w:r>
      <w:r w:rsidR="00564188" w:rsidRPr="00564188">
        <w:rPr>
          <w:rFonts w:cs="Arial"/>
          <w:szCs w:val="24"/>
        </w:rPr>
        <w:t xml:space="preserve"> [12</w:t>
      </w:r>
      <w:r w:rsidRPr="00564188">
        <w:rPr>
          <w:rFonts w:cs="Arial"/>
          <w:szCs w:val="24"/>
        </w:rPr>
        <w:t>]</w:t>
      </w:r>
      <w:r>
        <w:rPr>
          <w:rFonts w:cs="Arial"/>
          <w:szCs w:val="24"/>
        </w:rPr>
        <w:t>, propôs que d</w:t>
      </w:r>
      <w:r w:rsidRPr="00974DED">
        <w:rPr>
          <w:rFonts w:cs="Arial"/>
          <w:szCs w:val="24"/>
        </w:rPr>
        <w:t>urante um</w:t>
      </w:r>
      <w:r>
        <w:rPr>
          <w:rFonts w:cs="Arial"/>
          <w:szCs w:val="24"/>
        </w:rPr>
        <w:t xml:space="preserve"> </w:t>
      </w:r>
      <w:r w:rsidRPr="00974DED">
        <w:rPr>
          <w:rFonts w:cs="Arial"/>
          <w:szCs w:val="24"/>
        </w:rPr>
        <w:t>escoamento turbulento o polímero é esticado e contraído com uma dada frequência por</w:t>
      </w:r>
      <w:r>
        <w:rPr>
          <w:rFonts w:cs="Arial"/>
          <w:szCs w:val="24"/>
        </w:rPr>
        <w:t xml:space="preserve"> uma tensão de escoamento</w:t>
      </w:r>
      <w:r w:rsidRPr="00974DED">
        <w:rPr>
          <w:rFonts w:cs="Arial"/>
          <w:szCs w:val="24"/>
        </w:rPr>
        <w:t xml:space="preserve">. </w:t>
      </w:r>
      <w:r>
        <w:rPr>
          <w:rFonts w:cs="Arial"/>
          <w:szCs w:val="24"/>
        </w:rPr>
        <w:t xml:space="preserve">Quando essas frequências se aproximam das frequências dos vórtices, </w:t>
      </w:r>
      <w:r w:rsidR="00173873">
        <w:rPr>
          <w:rFonts w:cs="Arial"/>
          <w:szCs w:val="24"/>
        </w:rPr>
        <w:t>ocorreria a redução de arraste.</w:t>
      </w:r>
    </w:p>
    <w:p w:rsidR="004B7BEE" w:rsidRPr="005E7F4E" w:rsidRDefault="00974DED" w:rsidP="00974DED">
      <w:pPr>
        <w:autoSpaceDE w:val="0"/>
        <w:autoSpaceDN w:val="0"/>
        <w:adjustRightInd w:val="0"/>
        <w:contextualSpacing w:val="0"/>
        <w:rPr>
          <w:rFonts w:cs="Arial"/>
          <w:szCs w:val="24"/>
        </w:rPr>
      </w:pPr>
      <w:r w:rsidRPr="00974DED">
        <w:rPr>
          <w:rFonts w:cs="Arial"/>
          <w:szCs w:val="24"/>
        </w:rPr>
        <w:t>O fluído apresenta assim uma</w:t>
      </w:r>
      <w:r>
        <w:rPr>
          <w:rFonts w:cs="Arial"/>
          <w:szCs w:val="24"/>
        </w:rPr>
        <w:t xml:space="preserve"> </w:t>
      </w:r>
      <w:r w:rsidRPr="00974DED">
        <w:rPr>
          <w:rFonts w:cs="Arial"/>
          <w:szCs w:val="24"/>
        </w:rPr>
        <w:t xml:space="preserve">maior </w:t>
      </w:r>
      <w:r w:rsidR="00D40D16">
        <w:rPr>
          <w:rFonts w:cs="Arial"/>
          <w:szCs w:val="24"/>
        </w:rPr>
        <w:t xml:space="preserve">resistência a uma rotação local, </w:t>
      </w:r>
      <w:r>
        <w:rPr>
          <w:rFonts w:cs="Arial"/>
          <w:szCs w:val="24"/>
        </w:rPr>
        <w:t xml:space="preserve">suprimindo a tensão cisalhante </w:t>
      </w:r>
      <w:r w:rsidR="00D40D16">
        <w:rPr>
          <w:rFonts w:cs="Arial"/>
          <w:szCs w:val="24"/>
        </w:rPr>
        <w:t>turbulenta prolongando seu comportamento</w:t>
      </w:r>
      <w:r w:rsidRPr="00974DED">
        <w:rPr>
          <w:rFonts w:cs="Arial"/>
          <w:szCs w:val="24"/>
        </w:rPr>
        <w:t xml:space="preserve"> laminar.</w:t>
      </w:r>
      <w:r>
        <w:rPr>
          <w:rFonts w:cs="Arial"/>
          <w:szCs w:val="24"/>
        </w:rPr>
        <w:t xml:space="preserve"> </w:t>
      </w:r>
      <w:r w:rsidR="004B7BEE" w:rsidRPr="004B7BEE">
        <w:rPr>
          <w:rFonts w:cs="Arial"/>
          <w:szCs w:val="24"/>
        </w:rPr>
        <w:t>O aumento da viscosidade, consequentemente, provoca o aumento da dissipação de energia,</w:t>
      </w:r>
      <w:r>
        <w:rPr>
          <w:rFonts w:cs="Arial"/>
          <w:szCs w:val="24"/>
        </w:rPr>
        <w:t xml:space="preserve"> </w:t>
      </w:r>
      <w:r w:rsidR="004B7BEE" w:rsidRPr="005E7F4E">
        <w:rPr>
          <w:rFonts w:cs="Arial"/>
          <w:szCs w:val="24"/>
        </w:rPr>
        <w:t>porém, esse aumento é irrisório quando comparado à redução de arraste em si [</w:t>
      </w:r>
      <w:r w:rsidR="00D40D16" w:rsidRPr="005E7F4E">
        <w:rPr>
          <w:rFonts w:cs="Arial"/>
          <w:szCs w:val="24"/>
        </w:rPr>
        <w:t>16</w:t>
      </w:r>
      <w:r w:rsidR="004B7BEE" w:rsidRPr="005E7F4E">
        <w:rPr>
          <w:rFonts w:cs="Arial"/>
          <w:szCs w:val="24"/>
        </w:rPr>
        <w:t>].</w:t>
      </w:r>
    </w:p>
    <w:p w:rsidR="004B7BEE" w:rsidRDefault="004B7BEE" w:rsidP="004B7BEE">
      <w:pPr>
        <w:autoSpaceDE w:val="0"/>
        <w:autoSpaceDN w:val="0"/>
        <w:adjustRightInd w:val="0"/>
        <w:contextualSpacing w:val="0"/>
        <w:rPr>
          <w:rFonts w:cs="Arial"/>
          <w:szCs w:val="24"/>
        </w:rPr>
      </w:pPr>
      <w:r w:rsidRPr="005E7F4E">
        <w:rPr>
          <w:rFonts w:cs="Arial"/>
          <w:szCs w:val="24"/>
        </w:rPr>
        <w:t xml:space="preserve">A teoria elástica sugerida </w:t>
      </w:r>
      <w:r w:rsidR="00DD4AF5" w:rsidRPr="005E7F4E">
        <w:rPr>
          <w:rFonts w:cs="Arial"/>
          <w:szCs w:val="24"/>
        </w:rPr>
        <w:t xml:space="preserve">por </w:t>
      </w:r>
      <w:r w:rsidRPr="005E7F4E">
        <w:rPr>
          <w:rFonts w:cs="Arial"/>
          <w:szCs w:val="24"/>
        </w:rPr>
        <w:t>Tabor e De Gennes [</w:t>
      </w:r>
      <w:r w:rsidR="00974DED" w:rsidRPr="005E7F4E">
        <w:rPr>
          <w:rFonts w:cs="Arial"/>
          <w:szCs w:val="24"/>
        </w:rPr>
        <w:t>15</w:t>
      </w:r>
      <w:r w:rsidRPr="005E7F4E">
        <w:rPr>
          <w:rFonts w:cs="Arial"/>
          <w:szCs w:val="24"/>
        </w:rPr>
        <w:t>] propõe que os polímeros</w:t>
      </w:r>
      <w:r w:rsidR="00974DED" w:rsidRPr="005E7F4E">
        <w:rPr>
          <w:rFonts w:cs="Arial"/>
          <w:szCs w:val="24"/>
        </w:rPr>
        <w:t xml:space="preserve"> </w:t>
      </w:r>
      <w:r w:rsidRPr="005E7F4E">
        <w:rPr>
          <w:rFonts w:cs="Arial"/>
          <w:szCs w:val="24"/>
        </w:rPr>
        <w:t xml:space="preserve">atuam </w:t>
      </w:r>
      <w:r w:rsidRPr="004B7BEE">
        <w:rPr>
          <w:rFonts w:cs="Arial"/>
          <w:szCs w:val="24"/>
        </w:rPr>
        <w:t>como pequenas molas que absorvem a energia dos vó</w:t>
      </w:r>
      <w:r w:rsidR="00974DED">
        <w:rPr>
          <w:rFonts w:cs="Arial"/>
          <w:szCs w:val="24"/>
        </w:rPr>
        <w:t xml:space="preserve">rtices menores, transformando-a </w:t>
      </w:r>
      <w:r w:rsidRPr="004B7BEE">
        <w:rPr>
          <w:rFonts w:cs="Arial"/>
          <w:szCs w:val="24"/>
        </w:rPr>
        <w:t xml:space="preserve">em energia elástica, </w:t>
      </w:r>
      <w:r w:rsidR="00DD4AF5">
        <w:rPr>
          <w:rFonts w:cs="Arial"/>
          <w:szCs w:val="24"/>
        </w:rPr>
        <w:t xml:space="preserve">devolvendo-a </w:t>
      </w:r>
      <w:r w:rsidRPr="004B7BEE">
        <w:rPr>
          <w:rFonts w:cs="Arial"/>
          <w:szCs w:val="24"/>
        </w:rPr>
        <w:t xml:space="preserve">ao escoamento </w:t>
      </w:r>
      <w:r w:rsidR="00DD4AF5">
        <w:rPr>
          <w:rFonts w:cs="Arial"/>
          <w:szCs w:val="24"/>
        </w:rPr>
        <w:t xml:space="preserve">caso </w:t>
      </w:r>
      <w:r w:rsidRPr="004B7BEE">
        <w:rPr>
          <w:rFonts w:cs="Arial"/>
          <w:szCs w:val="24"/>
        </w:rPr>
        <w:t>o tempo de</w:t>
      </w:r>
      <w:r w:rsidR="00DD4AF5">
        <w:rPr>
          <w:rFonts w:cs="Arial"/>
          <w:szCs w:val="24"/>
        </w:rPr>
        <w:t xml:space="preserve"> relaxação do polímero seja suficientemente grande</w:t>
      </w:r>
      <w:r w:rsidRPr="004B7BEE">
        <w:rPr>
          <w:rFonts w:cs="Arial"/>
          <w:szCs w:val="24"/>
        </w:rPr>
        <w:t>. O tempo de relaxação é o tempo necessário para que o polímero retome ao seu</w:t>
      </w:r>
      <w:r w:rsidR="00DD4AF5">
        <w:rPr>
          <w:rFonts w:cs="Arial"/>
          <w:szCs w:val="24"/>
        </w:rPr>
        <w:t xml:space="preserve"> estado de equilíbrio. Este tempo está relacionado</w:t>
      </w:r>
      <w:r w:rsidRPr="004B7BEE">
        <w:rPr>
          <w:rFonts w:cs="Arial"/>
          <w:szCs w:val="24"/>
        </w:rPr>
        <w:t xml:space="preserve"> </w:t>
      </w:r>
      <w:r w:rsidRPr="005E7F4E">
        <w:rPr>
          <w:rFonts w:cs="Arial"/>
          <w:szCs w:val="24"/>
        </w:rPr>
        <w:t>com a massa específi</w:t>
      </w:r>
      <w:r w:rsidR="00DD4AF5" w:rsidRPr="005E7F4E">
        <w:rPr>
          <w:rFonts w:cs="Arial"/>
          <w:szCs w:val="24"/>
        </w:rPr>
        <w:t>ca e viscosidade da solução [17</w:t>
      </w:r>
      <w:r w:rsidRPr="005E7F4E">
        <w:rPr>
          <w:rFonts w:cs="Arial"/>
          <w:szCs w:val="24"/>
        </w:rPr>
        <w:t>].</w:t>
      </w:r>
      <w:r w:rsidR="00E57E6D" w:rsidRPr="005E7F4E">
        <w:rPr>
          <w:rFonts w:cs="Arial"/>
          <w:szCs w:val="24"/>
        </w:rPr>
        <w:t xml:space="preserve"> A </w:t>
      </w:r>
      <w:r w:rsidR="00E57E6D" w:rsidRPr="005E7F4E">
        <w:rPr>
          <w:rFonts w:cs="Arial"/>
          <w:szCs w:val="24"/>
        </w:rPr>
        <w:fldChar w:fldCharType="begin"/>
      </w:r>
      <w:r w:rsidR="00E57E6D" w:rsidRPr="005E7F4E">
        <w:rPr>
          <w:rFonts w:cs="Arial"/>
          <w:szCs w:val="24"/>
        </w:rPr>
        <w:instrText xml:space="preserve"> REF _Ref488073002 \h </w:instrText>
      </w:r>
      <w:r w:rsidR="00E57E6D" w:rsidRPr="005E7F4E">
        <w:rPr>
          <w:rFonts w:cs="Arial"/>
          <w:szCs w:val="24"/>
        </w:rPr>
      </w:r>
      <w:r w:rsidR="00E57E6D" w:rsidRPr="005E7F4E">
        <w:rPr>
          <w:rFonts w:cs="Arial"/>
          <w:szCs w:val="24"/>
        </w:rPr>
        <w:fldChar w:fldCharType="separate"/>
      </w:r>
      <w:r w:rsidR="0061311A" w:rsidRPr="005E7F4E">
        <w:t xml:space="preserve">Figura </w:t>
      </w:r>
      <w:r w:rsidR="0061311A" w:rsidRPr="005E7F4E">
        <w:rPr>
          <w:noProof/>
        </w:rPr>
        <w:t>4</w:t>
      </w:r>
      <w:r w:rsidR="00E57E6D" w:rsidRPr="005E7F4E">
        <w:rPr>
          <w:rFonts w:cs="Arial"/>
          <w:szCs w:val="24"/>
        </w:rPr>
        <w:fldChar w:fldCharType="end"/>
      </w:r>
      <w:r w:rsidR="00E57E6D" w:rsidRPr="005E7F4E">
        <w:rPr>
          <w:rFonts w:cs="Arial"/>
          <w:szCs w:val="24"/>
        </w:rPr>
        <w:t xml:space="preserve"> ilustra as </w:t>
      </w:r>
      <w:r w:rsidR="00E57E6D">
        <w:rPr>
          <w:rFonts w:cs="Arial"/>
          <w:szCs w:val="24"/>
        </w:rPr>
        <w:t>configurações em que o polímero pode se encontrar.</w:t>
      </w:r>
    </w:p>
    <w:p w:rsidR="00DD4AF5" w:rsidRPr="00771C7D" w:rsidRDefault="00DD4AF5" w:rsidP="00771C7D">
      <w:pPr>
        <w:pStyle w:val="Figura-PG"/>
      </w:pPr>
      <w:bookmarkStart w:id="18" w:name="_Ref488073002"/>
      <w:bookmarkStart w:id="19" w:name="_Toc488706045"/>
      <w:r w:rsidRPr="00771C7D">
        <w:lastRenderedPageBreak/>
        <w:t xml:space="preserve">Figura </w:t>
      </w:r>
      <w:fldSimple w:instr=" SEQ Figura \* ARABIC ">
        <w:r w:rsidR="004C240D">
          <w:rPr>
            <w:noProof/>
          </w:rPr>
          <w:t>4</w:t>
        </w:r>
      </w:fldSimple>
      <w:bookmarkEnd w:id="18"/>
      <w:r w:rsidR="00450291">
        <w:rPr>
          <w:noProof/>
        </w:rPr>
        <w:t xml:space="preserve"> </w:t>
      </w:r>
      <w:r w:rsidR="00450291">
        <w:t xml:space="preserve">- </w:t>
      </w:r>
      <w:r w:rsidRPr="00771C7D">
        <w:t>Configurações de um polímero</w:t>
      </w:r>
      <w:r w:rsidR="00FF444A" w:rsidRPr="00771C7D">
        <w:t xml:space="preserve"> de acordo com a teoria elástica</w:t>
      </w:r>
      <w:r w:rsidRPr="00771C7D">
        <w:t>.</w:t>
      </w:r>
      <w:r w:rsidR="00FF444A" w:rsidRPr="00771C7D">
        <w:t xml:space="preserve"> Á</w:t>
      </w:r>
      <w:r w:rsidRPr="00771C7D">
        <w:t xml:space="preserve"> esquerda um polímero enrolado e à direita sua configuração esticada.</w:t>
      </w:r>
      <w:bookmarkEnd w:id="19"/>
    </w:p>
    <w:p w:rsidR="00DD4AF5" w:rsidRDefault="00DD4AF5" w:rsidP="0061311A">
      <w:pPr>
        <w:autoSpaceDE w:val="0"/>
        <w:autoSpaceDN w:val="0"/>
        <w:adjustRightInd w:val="0"/>
        <w:spacing w:after="0"/>
        <w:contextualSpacing w:val="0"/>
        <w:rPr>
          <w:rFonts w:cs="Arial"/>
          <w:szCs w:val="24"/>
        </w:rPr>
      </w:pPr>
      <w:r>
        <w:rPr>
          <w:noProof/>
          <w:lang w:eastAsia="pt-BR"/>
        </w:rPr>
        <w:drawing>
          <wp:inline distT="0" distB="0" distL="0" distR="0" wp14:anchorId="58E4FA48" wp14:editId="63626E80">
            <wp:extent cx="5760085" cy="2112010"/>
            <wp:effectExtent l="0" t="0" r="0" b="254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085" cy="2112010"/>
                    </a:xfrm>
                    <a:prstGeom prst="rect">
                      <a:avLst/>
                    </a:prstGeom>
                  </pic:spPr>
                </pic:pic>
              </a:graphicData>
            </a:graphic>
          </wp:inline>
        </w:drawing>
      </w:r>
    </w:p>
    <w:p w:rsidR="0061311A" w:rsidRPr="004B7BEE" w:rsidRDefault="0061311A" w:rsidP="0061311A">
      <w:pPr>
        <w:autoSpaceDE w:val="0"/>
        <w:autoSpaceDN w:val="0"/>
        <w:adjustRightInd w:val="0"/>
        <w:contextualSpacing w:val="0"/>
        <w:jc w:val="center"/>
        <w:rPr>
          <w:rFonts w:cs="Arial"/>
          <w:szCs w:val="24"/>
        </w:rPr>
      </w:pPr>
      <w:r>
        <w:rPr>
          <w:rFonts w:cs="Arial"/>
          <w:szCs w:val="24"/>
        </w:rPr>
        <w:t>Fonte: (</w:t>
      </w:r>
      <w:r w:rsidR="00CB0CA2">
        <w:rPr>
          <w:rFonts w:cs="Arial"/>
          <w:szCs w:val="24"/>
        </w:rPr>
        <w:t xml:space="preserve">WHITE </w:t>
      </w:r>
      <w:r>
        <w:rPr>
          <w:rFonts w:cs="Arial"/>
          <w:szCs w:val="24"/>
        </w:rPr>
        <w:t xml:space="preserve">e </w:t>
      </w:r>
      <w:r w:rsidR="00CB0CA2">
        <w:rPr>
          <w:rFonts w:cs="Arial"/>
          <w:szCs w:val="24"/>
        </w:rPr>
        <w:t>MUNGAL</w:t>
      </w:r>
      <w:r>
        <w:rPr>
          <w:rFonts w:cs="Arial"/>
          <w:szCs w:val="24"/>
        </w:rPr>
        <w:t>, 2008)</w:t>
      </w:r>
    </w:p>
    <w:p w:rsidR="004B7BEE" w:rsidRPr="00F45F5D" w:rsidRDefault="004B7BEE" w:rsidP="00B67D55">
      <w:pPr>
        <w:autoSpaceDE w:val="0"/>
        <w:autoSpaceDN w:val="0"/>
        <w:adjustRightInd w:val="0"/>
        <w:contextualSpacing w:val="0"/>
        <w:rPr>
          <w:rFonts w:cs="Arial"/>
          <w:szCs w:val="24"/>
        </w:rPr>
      </w:pPr>
      <w:r w:rsidRPr="004B7BEE">
        <w:rPr>
          <w:rFonts w:cs="Arial"/>
          <w:szCs w:val="24"/>
        </w:rPr>
        <w:t xml:space="preserve">Essa teoria sugere que </w:t>
      </w:r>
      <w:r w:rsidR="00FF444A">
        <w:rPr>
          <w:rFonts w:cs="Arial"/>
          <w:szCs w:val="24"/>
        </w:rPr>
        <w:t>o</w:t>
      </w:r>
      <w:r w:rsidRPr="004B7BEE">
        <w:rPr>
          <w:rFonts w:cs="Arial"/>
          <w:szCs w:val="24"/>
        </w:rPr>
        <w:t xml:space="preserve">s polímeros impedem os vórtices menores de se formar, </w:t>
      </w:r>
      <w:r w:rsidR="00FF444A" w:rsidRPr="00F45F5D">
        <w:rPr>
          <w:rFonts w:cs="Arial"/>
          <w:szCs w:val="24"/>
        </w:rPr>
        <w:t xml:space="preserve">atrasando a entrada turbulenta, promovendo </w:t>
      </w:r>
      <w:r w:rsidRPr="00F45F5D">
        <w:rPr>
          <w:rFonts w:cs="Arial"/>
          <w:szCs w:val="24"/>
        </w:rPr>
        <w:t>a redução de arraste. Essa teo</w:t>
      </w:r>
      <w:r w:rsidR="00FF444A" w:rsidRPr="00F45F5D">
        <w:rPr>
          <w:rFonts w:cs="Arial"/>
          <w:szCs w:val="24"/>
        </w:rPr>
        <w:t xml:space="preserve">ria considera que a viscosidade </w:t>
      </w:r>
      <w:r w:rsidRPr="00F45F5D">
        <w:rPr>
          <w:rFonts w:cs="Arial"/>
          <w:szCs w:val="24"/>
        </w:rPr>
        <w:t>não é um parâmetro dominante, uma vez que existe a assíntota de máxima redução de arraste,</w:t>
      </w:r>
      <w:r w:rsidR="00FF444A" w:rsidRPr="00F45F5D">
        <w:rPr>
          <w:rFonts w:cs="Arial"/>
          <w:szCs w:val="24"/>
        </w:rPr>
        <w:t xml:space="preserve"> </w:t>
      </w:r>
      <w:r w:rsidRPr="00F45F5D">
        <w:rPr>
          <w:rFonts w:cs="Arial"/>
          <w:szCs w:val="24"/>
        </w:rPr>
        <w:t>caso contrário, o arraste diminuiria independente da concentração de polímero [</w:t>
      </w:r>
      <w:r w:rsidR="00FF444A" w:rsidRPr="00F45F5D">
        <w:rPr>
          <w:rFonts w:cs="Arial"/>
          <w:szCs w:val="24"/>
        </w:rPr>
        <w:t>18</w:t>
      </w:r>
      <w:r w:rsidR="00CF1DFD" w:rsidRPr="00F45F5D">
        <w:rPr>
          <w:rFonts w:cs="Arial"/>
          <w:szCs w:val="24"/>
        </w:rPr>
        <w:t>].</w:t>
      </w:r>
    </w:p>
    <w:p w:rsidR="00CF1DFD" w:rsidRPr="00F45F5D" w:rsidRDefault="002D0953" w:rsidP="00CF1DFD">
      <w:pPr>
        <w:autoSpaceDE w:val="0"/>
        <w:autoSpaceDN w:val="0"/>
        <w:adjustRightInd w:val="0"/>
        <w:contextualSpacing w:val="0"/>
        <w:rPr>
          <w:rFonts w:cs="Arial"/>
          <w:szCs w:val="24"/>
        </w:rPr>
      </w:pPr>
      <w:r w:rsidRPr="00F45F5D">
        <w:rPr>
          <w:rFonts w:cs="Arial"/>
          <w:szCs w:val="24"/>
        </w:rPr>
        <w:t>Quanto à economia de potência,</w:t>
      </w:r>
      <w:r w:rsidR="00CF1DFD" w:rsidRPr="00F45F5D">
        <w:rPr>
          <w:rFonts w:cs="Arial"/>
          <w:szCs w:val="24"/>
        </w:rPr>
        <w:t xml:space="preserve"> </w:t>
      </w:r>
      <w:r w:rsidRPr="00F45F5D">
        <w:rPr>
          <w:rFonts w:cs="Arial"/>
          <w:szCs w:val="24"/>
        </w:rPr>
        <w:t>[19] apresenta resultados de</w:t>
      </w:r>
      <w:r w:rsidR="0066628D" w:rsidRPr="00F45F5D">
        <w:rPr>
          <w:rFonts w:cs="Arial"/>
          <w:szCs w:val="24"/>
        </w:rPr>
        <w:t xml:space="preserve"> 70% de</w:t>
      </w:r>
      <w:r w:rsidRPr="00F45F5D">
        <w:rPr>
          <w:rFonts w:cs="Arial"/>
          <w:szCs w:val="24"/>
        </w:rPr>
        <w:t xml:space="preserve"> </w:t>
      </w:r>
      <w:r w:rsidR="00CF1DFD" w:rsidRPr="00F45F5D">
        <w:rPr>
          <w:rFonts w:cs="Arial"/>
          <w:szCs w:val="24"/>
        </w:rPr>
        <w:t xml:space="preserve">economia </w:t>
      </w:r>
      <w:r w:rsidR="0066628D" w:rsidRPr="00F45F5D">
        <w:rPr>
          <w:rFonts w:cs="Arial"/>
          <w:szCs w:val="24"/>
        </w:rPr>
        <w:t xml:space="preserve">de </w:t>
      </w:r>
      <w:r w:rsidR="00CF1DFD" w:rsidRPr="00F45F5D">
        <w:rPr>
          <w:rFonts w:cs="Arial"/>
          <w:szCs w:val="24"/>
        </w:rPr>
        <w:t xml:space="preserve">potência </w:t>
      </w:r>
      <w:r w:rsidRPr="00F45F5D">
        <w:rPr>
          <w:rFonts w:cs="Arial"/>
          <w:szCs w:val="24"/>
        </w:rPr>
        <w:t xml:space="preserve">demandada em uma </w:t>
      </w:r>
      <w:r w:rsidR="00CF1DFD" w:rsidRPr="00F45F5D">
        <w:rPr>
          <w:rFonts w:cs="Arial"/>
          <w:szCs w:val="24"/>
        </w:rPr>
        <w:t xml:space="preserve">bomba usada para bombear água quente em tubos para troca de calor, depois de terem adicionado algumas centenas de ppm de </w:t>
      </w:r>
      <w:r w:rsidR="0066628D" w:rsidRPr="00F45F5D">
        <w:rPr>
          <w:rFonts w:cs="Arial"/>
          <w:szCs w:val="24"/>
        </w:rPr>
        <w:t>aditivo, neste caso, surfactante</w:t>
      </w:r>
      <w:r w:rsidR="00CF1DFD" w:rsidRPr="00F45F5D">
        <w:rPr>
          <w:rFonts w:cs="Arial"/>
          <w:szCs w:val="24"/>
        </w:rPr>
        <w:t>.</w:t>
      </w:r>
    </w:p>
    <w:p w:rsidR="00CF1DFD" w:rsidRPr="00F45F5D" w:rsidRDefault="0066628D" w:rsidP="00CF1DFD">
      <w:pPr>
        <w:autoSpaceDE w:val="0"/>
        <w:autoSpaceDN w:val="0"/>
        <w:adjustRightInd w:val="0"/>
        <w:contextualSpacing w:val="0"/>
        <w:rPr>
          <w:rFonts w:cs="Arial"/>
          <w:szCs w:val="24"/>
        </w:rPr>
      </w:pPr>
      <w:r w:rsidRPr="00F45F5D">
        <w:rPr>
          <w:rFonts w:cs="Arial"/>
          <w:szCs w:val="24"/>
        </w:rPr>
        <w:t xml:space="preserve">De acordo com [20], ambos os resultados de laboratório e de campo mostraram que até </w:t>
      </w:r>
      <w:r w:rsidR="00CF1DFD" w:rsidRPr="00F45F5D">
        <w:rPr>
          <w:rFonts w:cs="Arial"/>
          <w:szCs w:val="24"/>
        </w:rPr>
        <w:t>80% da</w:t>
      </w:r>
      <w:r w:rsidRPr="00F45F5D">
        <w:rPr>
          <w:rFonts w:cs="Arial"/>
          <w:szCs w:val="24"/>
        </w:rPr>
        <w:t xml:space="preserve">s perdas de pressão podem ser reduzidas. Este conclui que o mesmo percentual </w:t>
      </w:r>
      <w:r w:rsidR="00173873" w:rsidRPr="00F45F5D">
        <w:rPr>
          <w:rFonts w:cs="Arial"/>
          <w:szCs w:val="24"/>
        </w:rPr>
        <w:t xml:space="preserve">de </w:t>
      </w:r>
      <w:r w:rsidR="00CF1DFD" w:rsidRPr="00F45F5D">
        <w:rPr>
          <w:rFonts w:cs="Arial"/>
          <w:szCs w:val="24"/>
        </w:rPr>
        <w:t>energia pode ser salva em um sistema de bombeamento ao se utilizar polímeros de alto peso molecular dissolvidos em pequenas quantidades na água em centenas partes por milhões para escoamentos turbulentos.</w:t>
      </w:r>
      <w:r w:rsidRPr="00F45F5D">
        <w:rPr>
          <w:rFonts w:cs="Arial"/>
          <w:szCs w:val="24"/>
        </w:rPr>
        <w:t xml:space="preserve"> Porém, [20] reitera que se as condições do escoamento, como a tensão cisalhante, ultrapassarem um nível crítico, o efeito da redução de arraste pode diminuir ou até desaparecer.</w:t>
      </w:r>
    </w:p>
    <w:p w:rsidR="00705755" w:rsidRDefault="00EE2EEB" w:rsidP="00705755">
      <w:pPr>
        <w:autoSpaceDE w:val="0"/>
        <w:autoSpaceDN w:val="0"/>
        <w:adjustRightInd w:val="0"/>
        <w:contextualSpacing w:val="0"/>
        <w:rPr>
          <w:rFonts w:cs="Arial"/>
          <w:szCs w:val="24"/>
        </w:rPr>
      </w:pPr>
      <w:r w:rsidRPr="00F45F5D">
        <w:rPr>
          <w:rFonts w:cs="Arial"/>
          <w:szCs w:val="24"/>
        </w:rPr>
        <w:t>Campolo [21], a</w:t>
      </w:r>
      <w:r w:rsidR="00CA2330" w:rsidRPr="00F45F5D">
        <w:rPr>
          <w:rFonts w:cs="Arial"/>
          <w:szCs w:val="24"/>
        </w:rPr>
        <w:t xml:space="preserve">presenta uma metodologia para se estimar o custo-efetivo da aplicação de um aditivo redutor de arraste em uma planta já instalada, onde os custos referentes às bombas e tubulações são negligenciados. Apesar desta análise </w:t>
      </w:r>
      <w:r w:rsidR="003B6DE8" w:rsidRPr="00F45F5D">
        <w:rPr>
          <w:rFonts w:cs="Arial"/>
          <w:szCs w:val="24"/>
        </w:rPr>
        <w:t xml:space="preserve">proporcionar uma ideia da viabilidade econômica </w:t>
      </w:r>
      <w:r w:rsidR="00705755" w:rsidRPr="00F45F5D">
        <w:rPr>
          <w:rFonts w:cs="Arial"/>
          <w:szCs w:val="24"/>
        </w:rPr>
        <w:t xml:space="preserve">do projeto, [21] desconsidera </w:t>
      </w:r>
      <w:r w:rsidR="003B6DE8" w:rsidRPr="00F45F5D">
        <w:rPr>
          <w:rFonts w:cs="Arial"/>
          <w:szCs w:val="24"/>
        </w:rPr>
        <w:t xml:space="preserve">a </w:t>
      </w:r>
      <w:r w:rsidR="003B6DE8" w:rsidRPr="00705755">
        <w:rPr>
          <w:rFonts w:cs="Arial"/>
          <w:szCs w:val="24"/>
        </w:rPr>
        <w:t xml:space="preserve">degradação mecânica do </w:t>
      </w:r>
      <w:r w:rsidR="00705755">
        <w:rPr>
          <w:rFonts w:cs="Arial"/>
          <w:szCs w:val="24"/>
        </w:rPr>
        <w:t>polímero durante o transporte do</w:t>
      </w:r>
      <w:r w:rsidR="003B6DE8" w:rsidRPr="00705755">
        <w:rPr>
          <w:rFonts w:cs="Arial"/>
          <w:szCs w:val="24"/>
        </w:rPr>
        <w:t xml:space="preserve"> fluido</w:t>
      </w:r>
      <w:r w:rsidR="00705755">
        <w:rPr>
          <w:rFonts w:cs="Arial"/>
          <w:szCs w:val="24"/>
        </w:rPr>
        <w:t xml:space="preserve"> ao longo do tempo </w:t>
      </w:r>
      <w:r w:rsidR="00705755">
        <w:rPr>
          <w:rFonts w:cs="Arial"/>
          <w:szCs w:val="24"/>
        </w:rPr>
        <w:lastRenderedPageBreak/>
        <w:t>em uma de suas premissas para se estimar a economia obtida. A viabilidade econômica proposta por este trabalho será realizada por meio da estimativa de potência economizada ao longo do tempo. Desta fo</w:t>
      </w:r>
      <w:r w:rsidR="000779E7">
        <w:rPr>
          <w:rFonts w:cs="Arial"/>
          <w:szCs w:val="24"/>
        </w:rPr>
        <w:t xml:space="preserve">rma, é considerada a perda </w:t>
      </w:r>
      <w:r w:rsidR="00705755">
        <w:rPr>
          <w:rFonts w:cs="Arial"/>
          <w:szCs w:val="24"/>
        </w:rPr>
        <w:t xml:space="preserve">de redução de arraste, </w:t>
      </w:r>
      <w:r w:rsidR="0010345E">
        <w:rPr>
          <w:rFonts w:cs="Arial"/>
          <w:szCs w:val="24"/>
        </w:rPr>
        <w:t xml:space="preserve">pois a economia é reduzida ao longo do tempo de operação, </w:t>
      </w:r>
      <w:r w:rsidR="00705755">
        <w:rPr>
          <w:rFonts w:cs="Arial"/>
          <w:szCs w:val="24"/>
        </w:rPr>
        <w:t xml:space="preserve">visto que </w:t>
      </w:r>
      <w:r w:rsidR="0010345E">
        <w:rPr>
          <w:rFonts w:cs="Arial"/>
          <w:szCs w:val="24"/>
        </w:rPr>
        <w:t xml:space="preserve">as </w:t>
      </w:r>
      <w:r w:rsidR="00705755">
        <w:rPr>
          <w:rFonts w:cs="Arial"/>
          <w:szCs w:val="24"/>
        </w:rPr>
        <w:t>bombas aceleram a degradação mecânica do aditivo.</w:t>
      </w:r>
    </w:p>
    <w:p w:rsidR="00C91006" w:rsidRDefault="00C91006" w:rsidP="00705755">
      <w:pPr>
        <w:autoSpaceDE w:val="0"/>
        <w:autoSpaceDN w:val="0"/>
        <w:adjustRightInd w:val="0"/>
        <w:contextualSpacing w:val="0"/>
        <w:rPr>
          <w:rFonts w:cs="Arial"/>
          <w:szCs w:val="24"/>
        </w:rPr>
      </w:pPr>
    </w:p>
    <w:p w:rsidR="001D7C49" w:rsidRPr="00705755" w:rsidRDefault="001D7C49" w:rsidP="001D7C49">
      <w:pPr>
        <w:pStyle w:val="Nvel2-PG"/>
      </w:pPr>
      <w:bookmarkStart w:id="20" w:name="_Toc488678325"/>
      <w:r>
        <w:t>1.3 Objetivo</w:t>
      </w:r>
      <w:bookmarkEnd w:id="20"/>
    </w:p>
    <w:p w:rsidR="001A4081" w:rsidRDefault="001A4081" w:rsidP="001D7C49">
      <w:pPr>
        <w:pStyle w:val="Nvel3-PG"/>
      </w:pPr>
      <w:bookmarkStart w:id="21" w:name="_Toc488678326"/>
      <w:r w:rsidRPr="001D293A">
        <w:t>1.3</w:t>
      </w:r>
      <w:r w:rsidR="001D7C49">
        <w:t>.1</w:t>
      </w:r>
      <w:r w:rsidRPr="001D293A">
        <w:t xml:space="preserve"> Objetivo</w:t>
      </w:r>
      <w:r w:rsidR="001D7C49">
        <w:t xml:space="preserve"> Geral</w:t>
      </w:r>
      <w:bookmarkEnd w:id="21"/>
    </w:p>
    <w:p w:rsidR="00C91006" w:rsidRDefault="001A4081" w:rsidP="009F0977">
      <w:pPr>
        <w:autoSpaceDE w:val="0"/>
        <w:autoSpaceDN w:val="0"/>
        <w:adjustRightInd w:val="0"/>
        <w:contextualSpacing w:val="0"/>
        <w:rPr>
          <w:rFonts w:cs="Arial"/>
          <w:szCs w:val="24"/>
        </w:rPr>
      </w:pPr>
      <w:r w:rsidRPr="001D293A">
        <w:rPr>
          <w:rFonts w:cs="Arial"/>
          <w:szCs w:val="24"/>
        </w:rPr>
        <w:t>O presente</w:t>
      </w:r>
      <w:r>
        <w:rPr>
          <w:rFonts w:cs="Arial"/>
          <w:szCs w:val="24"/>
        </w:rPr>
        <w:t xml:space="preserve"> trabalho visa investigar a economia de energia obtida pela adição de polímeros que reduzem a perda de carga </w:t>
      </w:r>
      <w:r w:rsidR="00CF22F4">
        <w:rPr>
          <w:rFonts w:cs="Arial"/>
          <w:szCs w:val="24"/>
        </w:rPr>
        <w:t>que ocorre nos escoamentos em tubulações circulares</w:t>
      </w:r>
      <w:r>
        <w:rPr>
          <w:rFonts w:cs="Arial"/>
          <w:szCs w:val="24"/>
        </w:rPr>
        <w:t xml:space="preserve"> </w:t>
      </w:r>
      <w:r w:rsidR="00CF22F4">
        <w:rPr>
          <w:rFonts w:cs="Arial"/>
          <w:szCs w:val="24"/>
        </w:rPr>
        <w:t xml:space="preserve">para </w:t>
      </w:r>
      <w:r>
        <w:rPr>
          <w:rFonts w:cs="Arial"/>
          <w:szCs w:val="24"/>
        </w:rPr>
        <w:t>diferentes aplicações, como em indústrias que possuem alta demanda de água, indústrias de petróleo ou até mesmo na irrigação.</w:t>
      </w:r>
      <w:r w:rsidR="007225B7">
        <w:rPr>
          <w:rFonts w:cs="Arial"/>
          <w:szCs w:val="24"/>
        </w:rPr>
        <w:t xml:space="preserve"> A análise da viabilidade econômica é realizada com base na receita advinda da economia de energia frente aos custos fixos e variáveis inerentes à aplicação deste sistema.</w:t>
      </w:r>
    </w:p>
    <w:p w:rsidR="009F0977" w:rsidRPr="009F0977" w:rsidRDefault="009F0977" w:rsidP="009F0977">
      <w:pPr>
        <w:autoSpaceDE w:val="0"/>
        <w:autoSpaceDN w:val="0"/>
        <w:adjustRightInd w:val="0"/>
        <w:contextualSpacing w:val="0"/>
        <w:rPr>
          <w:rFonts w:cs="Arial"/>
          <w:szCs w:val="24"/>
        </w:rPr>
      </w:pPr>
    </w:p>
    <w:p w:rsidR="00C91006" w:rsidRPr="001D7C49" w:rsidRDefault="00C91006" w:rsidP="001D7C49">
      <w:pPr>
        <w:pStyle w:val="Nvel3-PG"/>
      </w:pPr>
      <w:bookmarkStart w:id="22" w:name="_Toc488678327"/>
      <w:r w:rsidRPr="001D7C49">
        <w:t>1.3.1 Objetivos Específicos</w:t>
      </w:r>
      <w:bookmarkEnd w:id="22"/>
    </w:p>
    <w:p w:rsidR="00EC47CC" w:rsidRDefault="00C91006" w:rsidP="00921CDB">
      <w:pPr>
        <w:autoSpaceDE w:val="0"/>
        <w:autoSpaceDN w:val="0"/>
        <w:adjustRightInd w:val="0"/>
        <w:contextualSpacing w:val="0"/>
        <w:rPr>
          <w:rFonts w:cs="Arial"/>
          <w:szCs w:val="24"/>
        </w:rPr>
      </w:pPr>
      <w:r>
        <w:rPr>
          <w:rFonts w:cs="Arial"/>
          <w:szCs w:val="24"/>
        </w:rPr>
        <w:t>Além da aná</w:t>
      </w:r>
      <w:r w:rsidR="00E21A90">
        <w:rPr>
          <w:rFonts w:cs="Arial"/>
          <w:szCs w:val="24"/>
        </w:rPr>
        <w:t>lise de viabilidade econômica, este trabalho pretende</w:t>
      </w:r>
      <w:r>
        <w:rPr>
          <w:rFonts w:cs="Arial"/>
          <w:szCs w:val="24"/>
        </w:rPr>
        <w:t xml:space="preserve"> </w:t>
      </w:r>
      <w:r w:rsidR="00E21A90">
        <w:rPr>
          <w:rFonts w:cs="Arial"/>
          <w:szCs w:val="24"/>
        </w:rPr>
        <w:t xml:space="preserve">investigar </w:t>
      </w:r>
      <w:r>
        <w:rPr>
          <w:rFonts w:cs="Arial"/>
          <w:szCs w:val="24"/>
        </w:rPr>
        <w:t xml:space="preserve">o </w:t>
      </w:r>
      <w:r w:rsidR="00E21A90">
        <w:rPr>
          <w:rFonts w:cs="Arial"/>
          <w:szCs w:val="24"/>
        </w:rPr>
        <w:t>comportamento dos polímeros Goma Guar e Poli(óxido de etileno) - PEO,</w:t>
      </w:r>
      <w:r>
        <w:rPr>
          <w:rFonts w:cs="Arial"/>
          <w:szCs w:val="24"/>
        </w:rPr>
        <w:t xml:space="preserve"> </w:t>
      </w:r>
      <w:r w:rsidR="00E21A90">
        <w:rPr>
          <w:rFonts w:cs="Arial"/>
          <w:szCs w:val="24"/>
        </w:rPr>
        <w:t xml:space="preserve">quando adicionado </w:t>
      </w:r>
      <w:r>
        <w:rPr>
          <w:rFonts w:cs="Arial"/>
          <w:szCs w:val="24"/>
        </w:rPr>
        <w:t>em diferentes concentrações</w:t>
      </w:r>
      <w:r w:rsidR="00E21A90">
        <w:rPr>
          <w:rFonts w:cs="Arial"/>
          <w:szCs w:val="24"/>
        </w:rPr>
        <w:t xml:space="preserve"> em escoamentos com vazões </w:t>
      </w:r>
      <w:r w:rsidR="001A6992">
        <w:rPr>
          <w:rFonts w:cs="Arial"/>
          <w:szCs w:val="24"/>
        </w:rPr>
        <w:t xml:space="preserve">(e </w:t>
      </w:r>
      <m:oMath>
        <m:r>
          <w:rPr>
            <w:rFonts w:ascii="Cambria Math" w:hAnsi="Cambria Math" w:cs="Arial"/>
            <w:szCs w:val="24"/>
          </w:rPr>
          <m:t>Re)</m:t>
        </m:r>
      </m:oMath>
      <w:r w:rsidR="001A6992">
        <w:rPr>
          <w:rFonts w:eastAsiaTheme="minorEastAsia" w:cs="Arial"/>
          <w:szCs w:val="24"/>
        </w:rPr>
        <w:t xml:space="preserve"> </w:t>
      </w:r>
      <w:r w:rsidR="00E21A90">
        <w:rPr>
          <w:rFonts w:cs="Arial"/>
          <w:szCs w:val="24"/>
        </w:rPr>
        <w:t xml:space="preserve">constantes, ao longo do tempo. </w:t>
      </w:r>
      <w:r w:rsidR="00EC47CC">
        <w:rPr>
          <w:rFonts w:cs="Arial"/>
          <w:szCs w:val="24"/>
        </w:rPr>
        <w:t>O intuito</w:t>
      </w:r>
      <w:r w:rsidR="00173873">
        <w:rPr>
          <w:rFonts w:cs="Arial"/>
          <w:szCs w:val="24"/>
        </w:rPr>
        <w:t xml:space="preserve"> é</w:t>
      </w:r>
      <w:r w:rsidR="00EC47CC">
        <w:rPr>
          <w:rFonts w:cs="Arial"/>
          <w:szCs w:val="24"/>
        </w:rPr>
        <w:t xml:space="preserve"> fazer um comparativo das curvas destes polímeros em cada situação para a tomada de decisão em relação ao aditivo a ser utilizado. Amplificando a gama de experimentos, em busca de</w:t>
      </w:r>
      <w:r w:rsidR="00F14D7D">
        <w:rPr>
          <w:rFonts w:cs="Arial"/>
          <w:szCs w:val="24"/>
        </w:rPr>
        <w:t xml:space="preserve"> novas descobertas</w:t>
      </w:r>
      <w:r w:rsidR="00EC47CC">
        <w:rPr>
          <w:rFonts w:cs="Arial"/>
          <w:szCs w:val="24"/>
        </w:rPr>
        <w:t xml:space="preserve">, experimentos com </w:t>
      </w:r>
      <w:r w:rsidR="00EC47CC" w:rsidRPr="00EC47CC">
        <w:rPr>
          <w:rFonts w:cs="Arial"/>
          <w:i/>
          <w:szCs w:val="24"/>
        </w:rPr>
        <w:t>blends</w:t>
      </w:r>
      <w:r w:rsidR="00EC47CC">
        <w:rPr>
          <w:rFonts w:cs="Arial"/>
          <w:i/>
          <w:szCs w:val="24"/>
        </w:rPr>
        <w:t xml:space="preserve"> </w:t>
      </w:r>
      <w:r w:rsidR="00EC47CC">
        <w:rPr>
          <w:rFonts w:cs="Arial"/>
          <w:szCs w:val="24"/>
        </w:rPr>
        <w:t xml:space="preserve">de Goma Guar e PEO também são realizados e seu desempenho </w:t>
      </w:r>
      <w:r w:rsidR="00F14D7D">
        <w:rPr>
          <w:rFonts w:cs="Arial"/>
          <w:szCs w:val="24"/>
        </w:rPr>
        <w:t>comparado ao</w:t>
      </w:r>
      <w:r w:rsidR="00EC47CC">
        <w:rPr>
          <w:rFonts w:cs="Arial"/>
          <w:szCs w:val="24"/>
        </w:rPr>
        <w:t xml:space="preserve"> </w:t>
      </w:r>
      <w:r w:rsidR="00F14D7D">
        <w:rPr>
          <w:rFonts w:cs="Arial"/>
          <w:szCs w:val="24"/>
        </w:rPr>
        <w:t xml:space="preserve">dos </w:t>
      </w:r>
      <w:r w:rsidR="00EC47CC">
        <w:rPr>
          <w:rFonts w:cs="Arial"/>
          <w:szCs w:val="24"/>
        </w:rPr>
        <w:t>demais experimentos.</w:t>
      </w:r>
    </w:p>
    <w:p w:rsidR="005445F8" w:rsidRDefault="005445F8" w:rsidP="00921CDB">
      <w:pPr>
        <w:autoSpaceDE w:val="0"/>
        <w:autoSpaceDN w:val="0"/>
        <w:adjustRightInd w:val="0"/>
        <w:contextualSpacing w:val="0"/>
        <w:rPr>
          <w:rFonts w:cs="Arial"/>
          <w:szCs w:val="24"/>
        </w:rPr>
      </w:pPr>
    </w:p>
    <w:p w:rsidR="006E1A9E" w:rsidRDefault="006E1A9E" w:rsidP="00921CDB">
      <w:pPr>
        <w:autoSpaceDE w:val="0"/>
        <w:autoSpaceDN w:val="0"/>
        <w:adjustRightInd w:val="0"/>
        <w:contextualSpacing w:val="0"/>
        <w:rPr>
          <w:rFonts w:cs="Arial"/>
          <w:szCs w:val="24"/>
        </w:rPr>
      </w:pPr>
    </w:p>
    <w:p w:rsidR="006E1A9E" w:rsidRDefault="006E1A9E" w:rsidP="00921CDB">
      <w:pPr>
        <w:autoSpaceDE w:val="0"/>
        <w:autoSpaceDN w:val="0"/>
        <w:adjustRightInd w:val="0"/>
        <w:contextualSpacing w:val="0"/>
        <w:rPr>
          <w:rFonts w:cs="Arial"/>
          <w:szCs w:val="24"/>
        </w:rPr>
      </w:pPr>
    </w:p>
    <w:p w:rsidR="006E1A9E" w:rsidRDefault="006E1A9E" w:rsidP="00921CDB">
      <w:pPr>
        <w:autoSpaceDE w:val="0"/>
        <w:autoSpaceDN w:val="0"/>
        <w:adjustRightInd w:val="0"/>
        <w:contextualSpacing w:val="0"/>
        <w:rPr>
          <w:rFonts w:cs="Arial"/>
          <w:szCs w:val="24"/>
        </w:rPr>
      </w:pPr>
    </w:p>
    <w:p w:rsidR="006E1A9E" w:rsidRDefault="006E1A9E" w:rsidP="00921CDB">
      <w:pPr>
        <w:autoSpaceDE w:val="0"/>
        <w:autoSpaceDN w:val="0"/>
        <w:adjustRightInd w:val="0"/>
        <w:contextualSpacing w:val="0"/>
        <w:rPr>
          <w:rFonts w:cs="Arial"/>
          <w:szCs w:val="24"/>
        </w:rPr>
      </w:pPr>
    </w:p>
    <w:p w:rsidR="006E1A9E" w:rsidRDefault="006E1A9E" w:rsidP="00921CDB">
      <w:pPr>
        <w:autoSpaceDE w:val="0"/>
        <w:autoSpaceDN w:val="0"/>
        <w:adjustRightInd w:val="0"/>
        <w:contextualSpacing w:val="0"/>
        <w:rPr>
          <w:rFonts w:cs="Arial"/>
          <w:szCs w:val="24"/>
        </w:rPr>
      </w:pPr>
    </w:p>
    <w:p w:rsidR="00BD16CD" w:rsidRDefault="00BD16CD" w:rsidP="005341EF">
      <w:pPr>
        <w:pStyle w:val="Nvel1-PG"/>
        <w:numPr>
          <w:ilvl w:val="0"/>
          <w:numId w:val="7"/>
        </w:numPr>
        <w:tabs>
          <w:tab w:val="left" w:pos="284"/>
        </w:tabs>
        <w:ind w:left="0" w:firstLine="0"/>
      </w:pPr>
      <w:bookmarkStart w:id="23" w:name="_Toc488678328"/>
      <w:r>
        <w:lastRenderedPageBreak/>
        <w:t>FUNDAMENTAÇÃO TEÓRICA</w:t>
      </w:r>
      <w:bookmarkEnd w:id="23"/>
    </w:p>
    <w:p w:rsidR="00BD16CD" w:rsidRDefault="00BD16CD" w:rsidP="004C1D84">
      <w:pPr>
        <w:pStyle w:val="Nvel2-PG"/>
      </w:pPr>
      <w:bookmarkStart w:id="24" w:name="_Toc488678329"/>
      <w:r w:rsidRPr="008E2AA9">
        <w:t>2.1 Escoamento Turbulento</w:t>
      </w:r>
      <w:bookmarkEnd w:id="24"/>
    </w:p>
    <w:p w:rsidR="00BD16CD" w:rsidRPr="00B808CE" w:rsidRDefault="00BD16CD" w:rsidP="004C1D84">
      <w:pPr>
        <w:rPr>
          <w:b/>
        </w:rPr>
      </w:pPr>
      <w:r w:rsidRPr="00F45F5D">
        <w:t>A maior parte dos escoamentos encontrados na natureza e em aplicações práticas são turbulentos. Consequentemente, é muito importante compreender os mecanismos físicos que governam este tipo de fenômeno. Os escoamentos turbulentos são instáveis e contém flutuações que são dependentes do tempo e da posição no espaço. Entre as características mais importantes dos escoamentos turbulentos, destaca-se a multiplicidade de escalas que os caracterizam. As maiores estruturas (baixas frequências), são controladas pela geometria que as geram, e as menores estruturas (altas frequências) são controladas pela viscosidade do fluido. [</w:t>
      </w:r>
      <w:r w:rsidR="00F45F5D" w:rsidRPr="00F45F5D">
        <w:t>22</w:t>
      </w:r>
      <w:r w:rsidRPr="00F45F5D">
        <w:t>]</w:t>
      </w:r>
      <w:r w:rsidRPr="005445F8">
        <w:rPr>
          <w:color w:val="FF0000"/>
        </w:rPr>
        <w:t xml:space="preserve"> </w:t>
      </w:r>
    </w:p>
    <w:p w:rsidR="005445F8" w:rsidRDefault="00BD16CD" w:rsidP="004C1D84">
      <w:pPr>
        <w:rPr>
          <w:b/>
        </w:rPr>
      </w:pPr>
      <w:r>
        <w:t xml:space="preserve">De acordo com </w:t>
      </w:r>
      <w:r w:rsidR="00815BA0">
        <w:t xml:space="preserve">Neto </w:t>
      </w:r>
      <w:r w:rsidRPr="00F45F5D">
        <w:t>[</w:t>
      </w:r>
      <w:r w:rsidR="00F45F5D" w:rsidRPr="00F45F5D">
        <w:t>22</w:t>
      </w:r>
      <w:r w:rsidRPr="00F45F5D">
        <w:t>]</w:t>
      </w:r>
      <w:r>
        <w:t>, o</w:t>
      </w:r>
      <w:r w:rsidRPr="00B808CE">
        <w:t>s primeiros estudos sobre instabilidade e turbulência foram desenvolvidos por</w:t>
      </w:r>
      <w:r>
        <w:t xml:space="preserve"> </w:t>
      </w:r>
      <w:r w:rsidRPr="00B808CE">
        <w:t>Osborne Reynolds no século XIX. Reynolds (1883), na sua famosa</w:t>
      </w:r>
      <w:r>
        <w:t xml:space="preserve"> </w:t>
      </w:r>
      <w:r w:rsidRPr="00B808CE">
        <w:t>investigação de escoamentos no interior de tubos, estabeleceu claramente a existência de</w:t>
      </w:r>
      <w:r>
        <w:t xml:space="preserve"> </w:t>
      </w:r>
      <w:r w:rsidRPr="00B808CE">
        <w:t>dois regimes fundamentais de esc</w:t>
      </w:r>
      <w:r>
        <w:t>oamentos: laminar e turbulento. P</w:t>
      </w:r>
      <w:r w:rsidRPr="00B808CE">
        <w:t>equenas perturbações injetadas são naturalmente ampli</w:t>
      </w:r>
      <w:r>
        <w:t>ficadas, gerando</w:t>
      </w:r>
      <w:r w:rsidRPr="00B808CE">
        <w:t xml:space="preserve"> instabilidades</w:t>
      </w:r>
      <w:r>
        <w:t xml:space="preserve"> que</w:t>
      </w:r>
      <w:r w:rsidRPr="00B808CE">
        <w:t xml:space="preserve"> conduzem à transição</w:t>
      </w:r>
      <w:r>
        <w:t xml:space="preserve"> laminar-turbulento. Reynolds estabeleceu</w:t>
      </w:r>
      <w:r w:rsidRPr="00B808CE">
        <w:t xml:space="preserve"> a existência de um parâmetro de controle da</w:t>
      </w:r>
      <w:r>
        <w:t xml:space="preserve"> </w:t>
      </w:r>
      <w:r w:rsidR="005445F8" w:rsidRPr="004C1D84">
        <w:t xml:space="preserve">transição à turbulência, representado pela </w:t>
      </w:r>
      <w:r w:rsidR="005445F8" w:rsidRPr="004C1D84">
        <w:fldChar w:fldCharType="begin"/>
      </w:r>
      <w:r w:rsidR="005445F8" w:rsidRPr="004C1D84">
        <w:instrText xml:space="preserve"> REF _Ref488096206 \h  \* MERGEFORMAT </w:instrText>
      </w:r>
      <w:r w:rsidR="005445F8" w:rsidRPr="004C1D84">
        <w:fldChar w:fldCharType="separate"/>
      </w:r>
      <w:r w:rsidR="00380A8E" w:rsidRPr="00380A8E">
        <w:t xml:space="preserve">Equação </w:t>
      </w:r>
      <w:r w:rsidR="00380A8E" w:rsidRPr="00380A8E">
        <w:rPr>
          <w:noProof/>
        </w:rPr>
        <w:t>5</w:t>
      </w:r>
      <w:r w:rsidR="005445F8" w:rsidRPr="004C1D84">
        <w:fldChar w:fldCharType="end"/>
      </w:r>
      <w:r w:rsidR="005445F8" w:rsidRPr="0065014B">
        <w:t>, onde</w:t>
      </w:r>
      <w:r w:rsidR="005445F8" w:rsidRPr="002B6990">
        <w:t xml:space="preserve"> ρ é a massa específica; </w:t>
      </w:r>
      <m:oMath>
        <m:acc>
          <m:accPr>
            <m:chr m:val="̅"/>
            <m:ctrlPr>
              <w:rPr>
                <w:rFonts w:ascii="Cambria Math" w:hAnsi="Cambria Math"/>
                <w:i/>
              </w:rPr>
            </m:ctrlPr>
          </m:accPr>
          <m:e>
            <m:r>
              <m:rPr>
                <m:sty m:val="bi"/>
              </m:rPr>
              <w:rPr>
                <w:rFonts w:ascii="Cambria Math" w:hAnsi="Cambria Math"/>
              </w:rPr>
              <m:t>V</m:t>
            </m:r>
          </m:e>
        </m:acc>
      </m:oMath>
      <w:r w:rsidR="005445F8" w:rsidRPr="002B6990">
        <w:t xml:space="preserve"> a velocidade média; D o diâmetro da tubulação e </w:t>
      </w:r>
      <m:oMath>
        <m:r>
          <m:rPr>
            <m:sty m:val="bi"/>
          </m:rPr>
          <w:rPr>
            <w:rFonts w:ascii="Cambria Math" w:hAnsi="Cambria Math"/>
          </w:rPr>
          <m:t>μ</m:t>
        </m:r>
      </m:oMath>
      <w:r w:rsidR="005445F8" w:rsidRPr="002B6990">
        <w:t xml:space="preserve"> a viscosidade dinâmica.</w:t>
      </w:r>
    </w:p>
    <w:tbl>
      <w:tblPr>
        <w:tblStyle w:val="Tabelacomgrade"/>
        <w:tblW w:w="0" w:type="auto"/>
        <w:tblCellMar>
          <w:left w:w="0" w:type="dxa"/>
          <w:right w:w="0" w:type="dxa"/>
        </w:tblCellMar>
        <w:tblLook w:val="04A0" w:firstRow="1" w:lastRow="0" w:firstColumn="1" w:lastColumn="0" w:noHBand="0" w:noVBand="1"/>
      </w:tblPr>
      <w:tblGrid>
        <w:gridCol w:w="8395"/>
        <w:gridCol w:w="676"/>
      </w:tblGrid>
      <w:tr w:rsidR="005445F8" w:rsidTr="004C1D84">
        <w:tc>
          <w:tcPr>
            <w:tcW w:w="8395" w:type="dxa"/>
            <w:tcBorders>
              <w:top w:val="nil"/>
              <w:left w:val="nil"/>
              <w:bottom w:val="nil"/>
              <w:right w:val="nil"/>
            </w:tcBorders>
            <w:vAlign w:val="center"/>
          </w:tcPr>
          <w:p w:rsidR="005445F8" w:rsidRPr="005445F8" w:rsidRDefault="005445F8" w:rsidP="004C1D84">
            <w:pPr>
              <w:autoSpaceDE w:val="0"/>
              <w:autoSpaceDN w:val="0"/>
              <w:adjustRightInd w:val="0"/>
              <w:spacing w:after="0" w:line="240" w:lineRule="auto"/>
              <w:contextualSpacing w:val="0"/>
              <w:rPr>
                <w:rFonts w:ascii="Cambria Math" w:hAnsi="Cambria Math" w:cs="Arial"/>
                <w:i/>
                <w:szCs w:val="24"/>
              </w:rPr>
            </w:pPr>
            <m:oMathPara>
              <m:oMath>
                <m:r>
                  <w:rPr>
                    <w:rFonts w:ascii="Cambria Math" w:hAnsi="Cambria Math" w:cs="Arial"/>
                    <w:szCs w:val="24"/>
                  </w:rPr>
                  <m:t xml:space="preserve">Re= </m:t>
                </m:r>
                <m:f>
                  <m:fPr>
                    <m:ctrlPr>
                      <w:rPr>
                        <w:rFonts w:ascii="Cambria Math" w:hAnsi="Cambria Math" w:cs="Arial"/>
                        <w:i/>
                        <w:szCs w:val="24"/>
                      </w:rPr>
                    </m:ctrlPr>
                  </m:fPr>
                  <m:num>
                    <m:r>
                      <w:rPr>
                        <w:rFonts w:ascii="Cambria Math" w:hAnsi="Cambria Math" w:cs="Arial"/>
                        <w:szCs w:val="24"/>
                      </w:rPr>
                      <m:t>ρ</m:t>
                    </m:r>
                    <m:acc>
                      <m:accPr>
                        <m:chr m:val="̅"/>
                        <m:ctrlPr>
                          <w:rPr>
                            <w:rFonts w:ascii="Cambria Math" w:hAnsi="Cambria Math" w:cs="Arial"/>
                            <w:i/>
                            <w:szCs w:val="24"/>
                          </w:rPr>
                        </m:ctrlPr>
                      </m:accPr>
                      <m:e>
                        <m:r>
                          <w:rPr>
                            <w:rFonts w:ascii="Cambria Math" w:hAnsi="Cambria Math" w:cs="Arial"/>
                            <w:szCs w:val="24"/>
                          </w:rPr>
                          <m:t>V</m:t>
                        </m:r>
                      </m:e>
                    </m:acc>
                    <m:r>
                      <w:rPr>
                        <w:rFonts w:ascii="Cambria Math" w:hAnsi="Cambria Math" w:cs="Arial"/>
                        <w:szCs w:val="24"/>
                      </w:rPr>
                      <m:t>D</m:t>
                    </m:r>
                  </m:num>
                  <m:den>
                    <m:r>
                      <w:rPr>
                        <w:rFonts w:ascii="Cambria Math" w:hAnsi="Cambria Math" w:cs="Arial"/>
                        <w:szCs w:val="24"/>
                      </w:rPr>
                      <m:t>μ</m:t>
                    </m:r>
                  </m:den>
                </m:f>
              </m:oMath>
            </m:oMathPara>
          </w:p>
        </w:tc>
        <w:tc>
          <w:tcPr>
            <w:tcW w:w="676" w:type="dxa"/>
            <w:tcBorders>
              <w:top w:val="nil"/>
              <w:left w:val="nil"/>
              <w:bottom w:val="nil"/>
              <w:right w:val="nil"/>
            </w:tcBorders>
            <w:vAlign w:val="center"/>
          </w:tcPr>
          <w:p w:rsidR="005445F8" w:rsidRDefault="005445F8" w:rsidP="005445F8">
            <w:pPr>
              <w:keepNext/>
              <w:autoSpaceDE w:val="0"/>
              <w:autoSpaceDN w:val="0"/>
              <w:adjustRightInd w:val="0"/>
              <w:spacing w:after="0" w:line="240" w:lineRule="auto"/>
              <w:contextualSpacing w:val="0"/>
              <w:jc w:val="center"/>
              <w:rPr>
                <w:rFonts w:cs="Arial"/>
                <w:szCs w:val="24"/>
              </w:rPr>
            </w:pPr>
            <w:r>
              <w:rPr>
                <w:rFonts w:cs="Arial"/>
                <w:szCs w:val="24"/>
              </w:rPr>
              <w:t>(5)</w:t>
            </w:r>
          </w:p>
        </w:tc>
      </w:tr>
    </w:tbl>
    <w:p w:rsidR="005445F8" w:rsidRPr="005445F8" w:rsidRDefault="005445F8" w:rsidP="005445F8">
      <w:pPr>
        <w:pStyle w:val="Legenda"/>
        <w:rPr>
          <w:b/>
          <w:color w:val="FFFFFF" w:themeColor="background1"/>
        </w:rPr>
      </w:pPr>
      <w:bookmarkStart w:id="25" w:name="_Ref488096206"/>
      <w:r w:rsidRPr="005445F8">
        <w:rPr>
          <w:color w:val="FFFFFF" w:themeColor="background1"/>
        </w:rPr>
        <w:t xml:space="preserve">Equação </w:t>
      </w:r>
      <w:r w:rsidR="001144AF">
        <w:rPr>
          <w:color w:val="FFFFFF" w:themeColor="background1"/>
        </w:rPr>
        <w:fldChar w:fldCharType="begin"/>
      </w:r>
      <w:r w:rsidR="001144AF">
        <w:rPr>
          <w:color w:val="FFFFFF" w:themeColor="background1"/>
        </w:rPr>
        <w:instrText xml:space="preserve"> SEQ Equação \* ARABIC </w:instrText>
      </w:r>
      <w:r w:rsidR="001144AF">
        <w:rPr>
          <w:color w:val="FFFFFF" w:themeColor="background1"/>
        </w:rPr>
        <w:fldChar w:fldCharType="separate"/>
      </w:r>
      <w:r w:rsidR="001144AF">
        <w:rPr>
          <w:noProof/>
          <w:color w:val="FFFFFF" w:themeColor="background1"/>
        </w:rPr>
        <w:t>5</w:t>
      </w:r>
      <w:r w:rsidR="001144AF">
        <w:rPr>
          <w:color w:val="FFFFFF" w:themeColor="background1"/>
        </w:rPr>
        <w:fldChar w:fldCharType="end"/>
      </w:r>
      <w:bookmarkEnd w:id="25"/>
    </w:p>
    <w:p w:rsidR="00BD16CD" w:rsidRDefault="00BD16CD" w:rsidP="004C1D84">
      <w:pPr>
        <w:rPr>
          <w:b/>
        </w:rPr>
      </w:pPr>
      <w:r w:rsidRPr="002B6990">
        <w:t>Este parâmetro se tornou conhecido posteriormente como sendo o número de Reynolds</w:t>
      </w:r>
      <w:r w:rsidR="006E1A9E">
        <w:t xml:space="preserve"> (</w:t>
      </w:r>
      <m:oMath>
        <m:r>
          <w:rPr>
            <w:rFonts w:ascii="Cambria Math" w:hAnsi="Cambria Math"/>
          </w:rPr>
          <m:t>Re</m:t>
        </m:r>
      </m:oMath>
      <w:r w:rsidR="006E1A9E">
        <w:t>)</w:t>
      </w:r>
      <w:r w:rsidRPr="002B6990">
        <w:t>.</w:t>
      </w:r>
      <w:r>
        <w:t xml:space="preserve"> </w:t>
      </w:r>
      <w:r w:rsidRPr="002B6990">
        <w:t xml:space="preserve">O número de Reynolds é definido como a razão </w:t>
      </w:r>
      <w:r>
        <w:t xml:space="preserve">entre forças inerciais e forças </w:t>
      </w:r>
      <w:r w:rsidRPr="002B6990">
        <w:t xml:space="preserve">viscosas. Quando o escoamento possui números de </w:t>
      </w:r>
      <m:oMath>
        <m:r>
          <w:rPr>
            <w:rFonts w:ascii="Cambria Math" w:hAnsi="Cambria Math"/>
          </w:rPr>
          <m:t>Re</m:t>
        </m:r>
      </m:oMath>
      <w:r>
        <w:t xml:space="preserve"> baixos ele escoa sem que haja </w:t>
      </w:r>
      <w:r w:rsidRPr="002B6990">
        <w:t xml:space="preserve">flutuações da velocidade na direção radial e de forma </w:t>
      </w:r>
      <w:r>
        <w:t xml:space="preserve">suave em laminas ou camadas. Já </w:t>
      </w:r>
      <w:r w:rsidRPr="002B6990">
        <w:t>o escoamento turbulento há flutuações da velocidade na d</w:t>
      </w:r>
      <w:r>
        <w:t xml:space="preserve">ireção radial formando vórtices </w:t>
      </w:r>
      <w:r w:rsidRPr="002B6990">
        <w:t xml:space="preserve">no </w:t>
      </w:r>
      <w:r w:rsidR="000779E7">
        <w:t>escoamento</w:t>
      </w:r>
      <w:r w:rsidRPr="002B6990">
        <w:t xml:space="preserve">. </w:t>
      </w:r>
      <w:r w:rsidR="00815BA0">
        <w:t>[22]</w:t>
      </w:r>
    </w:p>
    <w:p w:rsidR="00BD16CD" w:rsidRDefault="00BD16CD" w:rsidP="004C1D84">
      <w:pPr>
        <w:rPr>
          <w:b/>
        </w:rPr>
      </w:pPr>
      <w:r>
        <w:t>Reynolds</w:t>
      </w:r>
      <w:r w:rsidRPr="002B6990">
        <w:t xml:space="preserve"> estabeleceu que um escoamento turbulento no interior de uma tubulação só pode ser sustentado para </w:t>
      </w:r>
      <m:oMath>
        <m:r>
          <w:rPr>
            <w:rFonts w:ascii="Cambria Math" w:hAnsi="Cambria Math"/>
          </w:rPr>
          <m:t>Re</m:t>
        </m:r>
      </m:oMath>
      <w:r w:rsidRPr="002B6990">
        <w:t xml:space="preserve"> acima de 2300, </w:t>
      </w:r>
      <w:r>
        <w:t xml:space="preserve">chamado de </w:t>
      </w:r>
      <w:r w:rsidRPr="002B6990">
        <w:t xml:space="preserve">valor crítico. Hoje se sabe que este valor depende da forma que o escoamento está sendo perturbado. Outra descoberta importante realizada por Reynolds foi a existência de regiões turbulentas </w:t>
      </w:r>
      <w:r w:rsidRPr="002B6990">
        <w:lastRenderedPageBreak/>
        <w:t xml:space="preserve">intermitentes (spots), uma propriedade posteriormente estabelecida como comum a escoamentos próximos de paredes. </w:t>
      </w:r>
      <w:r w:rsidR="00815BA0">
        <w:t>[22]</w:t>
      </w:r>
    </w:p>
    <w:p w:rsidR="00BD16CD" w:rsidRDefault="00BD16CD" w:rsidP="004C1D84">
      <w:pPr>
        <w:pStyle w:val="Nvel3-PG"/>
        <w:rPr>
          <w:b/>
        </w:rPr>
      </w:pPr>
      <w:bookmarkStart w:id="26" w:name="_Toc488678330"/>
      <w:r w:rsidRPr="007151AC">
        <w:t>2.1.1 Caracterização do escoamento turbulento</w:t>
      </w:r>
      <w:bookmarkEnd w:id="26"/>
    </w:p>
    <w:p w:rsidR="00BD16CD" w:rsidRPr="007151AC" w:rsidRDefault="00BD16CD" w:rsidP="004C1D84">
      <w:pPr>
        <w:rPr>
          <w:b/>
        </w:rPr>
      </w:pPr>
      <w:r>
        <w:t xml:space="preserve">A turbulência nos fluidos </w:t>
      </w:r>
      <w:r w:rsidRPr="0049528B">
        <w:t>concerne a todo</w:t>
      </w:r>
      <w:r>
        <w:t xml:space="preserve">s, sendo enorme a quantidade de </w:t>
      </w:r>
      <w:r w:rsidRPr="0049528B">
        <w:t>exemplos que podem ser citados.</w:t>
      </w:r>
      <w:r>
        <w:t xml:space="preserve"> Em todo tipo de situação, a</w:t>
      </w:r>
      <w:r w:rsidRPr="0049528B">
        <w:t>s característica</w:t>
      </w:r>
      <w:r>
        <w:t>s da turbulência são de extrema importância.</w:t>
      </w:r>
    </w:p>
    <w:p w:rsidR="00BD16CD" w:rsidRDefault="00BD16CD" w:rsidP="004C1D84">
      <w:pPr>
        <w:rPr>
          <w:b/>
        </w:rPr>
      </w:pPr>
      <w:r>
        <w:t>A</w:t>
      </w:r>
      <w:r w:rsidRPr="003A2CFB">
        <w:t>s observações</w:t>
      </w:r>
      <w:r>
        <w:t xml:space="preserve"> e</w:t>
      </w:r>
      <w:r w:rsidRPr="003A2CFB">
        <w:t>xperimentais e de modernas simulações numéricas, levam a concluir que a</w:t>
      </w:r>
      <w:r>
        <w:t xml:space="preserve"> turbulência </w:t>
      </w:r>
      <w:r w:rsidRPr="003A2CFB">
        <w:t>aumenta em muito o pod</w:t>
      </w:r>
      <w:r>
        <w:t xml:space="preserve">er de difusão de um escoamento. </w:t>
      </w:r>
      <w:r w:rsidRPr="003A2CFB">
        <w:t>Em consequência, a m</w:t>
      </w:r>
      <w:r>
        <w:t xml:space="preserve">istura de massa, contaminantes, </w:t>
      </w:r>
      <w:r w:rsidRPr="003A2CFB">
        <w:t>energia, quantidade de movimento é muito mais eficiente</w:t>
      </w:r>
      <w:r>
        <w:t xml:space="preserve"> neste regime de escoamento.</w:t>
      </w:r>
      <w:r w:rsidR="00815BA0">
        <w:t xml:space="preserve"> [22]</w:t>
      </w:r>
    </w:p>
    <w:p w:rsidR="00BD16CD" w:rsidRPr="002B6990" w:rsidRDefault="00BD16CD" w:rsidP="004C1D84">
      <w:pPr>
        <w:rPr>
          <w:b/>
        </w:rPr>
      </w:pPr>
      <w:r w:rsidRPr="007151AC">
        <w:t>As tensões cisalhantes de um escoamento, as qua</w:t>
      </w:r>
      <w:r>
        <w:t xml:space="preserve">is são intensificadas em regime </w:t>
      </w:r>
      <w:r w:rsidRPr="007151AC">
        <w:t>turbulento, conduzem ao processo de transformação de e</w:t>
      </w:r>
      <w:r>
        <w:t xml:space="preserve">nergia cinética em aquecimento. </w:t>
      </w:r>
      <w:r w:rsidRPr="007151AC">
        <w:t>Quanto mais intensas as flutuações de velocidades, maiores serão os gradientes e o</w:t>
      </w:r>
      <w:r>
        <w:t xml:space="preserve"> </w:t>
      </w:r>
      <w:r w:rsidRPr="007151AC">
        <w:t>cisalhamento local, e, em consequência maior o efeito de dissipação viscosa. Logo a</w:t>
      </w:r>
      <w:r>
        <w:t xml:space="preserve"> </w:t>
      </w:r>
      <w:r w:rsidRPr="007151AC">
        <w:t>turbulência exige fornecimento contínuo de energia para a sua manutenção. Caso contrário</w:t>
      </w:r>
      <w:r w:rsidR="00825AA1">
        <w:t xml:space="preserve">, </w:t>
      </w:r>
      <w:r w:rsidRPr="007151AC">
        <w:t>a turbulência entra em regime de decaimento rápido.</w:t>
      </w:r>
      <w:r w:rsidR="00815BA0">
        <w:t xml:space="preserve"> [22]</w:t>
      </w:r>
    </w:p>
    <w:p w:rsidR="00BD16CD" w:rsidRDefault="00BD16CD" w:rsidP="004C1D84">
      <w:pPr>
        <w:rPr>
          <w:b/>
        </w:rPr>
      </w:pPr>
      <w:r>
        <w:t xml:space="preserve">Além disso, a turbulência é um fenômeno contínuo que só ocorre </w:t>
      </w:r>
      <w:r w:rsidRPr="00EA61E9">
        <w:t>em escoamentos rotacionais</w:t>
      </w:r>
      <w:r>
        <w:t xml:space="preserve"> e tridimensionais, e é um fenômeno imprevisível, ou seja, existe</w:t>
      </w:r>
      <w:r w:rsidRPr="00D7518F">
        <w:t xml:space="preserve"> alta s</w:t>
      </w:r>
      <w:r>
        <w:t xml:space="preserve">ensibilidade da dinâmica de um sistema às </w:t>
      </w:r>
      <w:r w:rsidRPr="00D7518F">
        <w:t xml:space="preserve">condições iniciais que lhe são impostas. </w:t>
      </w:r>
    </w:p>
    <w:p w:rsidR="00246E08" w:rsidRDefault="00BD16CD" w:rsidP="004C1D84">
      <w:r>
        <w:t>Q</w:t>
      </w:r>
      <w:r w:rsidRPr="008E7FC2">
        <w:t>uanto às aplicações de engenharia, informações es</w:t>
      </w:r>
      <w:r>
        <w:t xml:space="preserve">tatísticas são suficientes para </w:t>
      </w:r>
      <w:r w:rsidRPr="008E7FC2">
        <w:t>a maioria das situações. Além disto, mesmo do</w:t>
      </w:r>
      <w:r>
        <w:t xml:space="preserve"> ponto de vista experimental, é impossível de </w:t>
      </w:r>
      <w:r w:rsidRPr="008E7FC2">
        <w:t>se repetir com fidelidade os resultados de uma experiência.</w:t>
      </w:r>
      <w:r>
        <w:t xml:space="preserve"> Admita-se que seja possível se </w:t>
      </w:r>
      <w:r w:rsidRPr="008E7FC2">
        <w:t>iniciar dois experimentos partindo-se de dois estados ini</w:t>
      </w:r>
      <w:r>
        <w:t xml:space="preserve">ciais idênticos. Mesmo assim as </w:t>
      </w:r>
      <w:r w:rsidRPr="008E7FC2">
        <w:t>duas realizações seriam completamente diferentes devi</w:t>
      </w:r>
      <w:r>
        <w:t xml:space="preserve">do às perturbações injetadas no </w:t>
      </w:r>
      <w:r w:rsidRPr="008E7FC2">
        <w:t>experimento pelas fontes externas não controladas pelo experimentador. Por menores</w:t>
      </w:r>
      <w:r>
        <w:t xml:space="preserve"> que </w:t>
      </w:r>
      <w:r w:rsidRPr="008E7FC2">
        <w:t>sejam estas perturbações, elas poderão ser amplific</w:t>
      </w:r>
      <w:r>
        <w:t xml:space="preserve">adas e dar origem a famílias de </w:t>
      </w:r>
      <w:r w:rsidR="00246E08">
        <w:t>instabilidades diferentes.</w:t>
      </w:r>
    </w:p>
    <w:p w:rsidR="00815BA0" w:rsidRDefault="00815BA0" w:rsidP="004C1D84">
      <w:pPr>
        <w:pStyle w:val="Nvel2-PG"/>
        <w:rPr>
          <w:rFonts w:cstheme="minorBidi"/>
          <w:szCs w:val="22"/>
        </w:rPr>
      </w:pPr>
    </w:p>
    <w:p w:rsidR="00BD16CD" w:rsidRDefault="00BD16CD" w:rsidP="004C1D84">
      <w:pPr>
        <w:pStyle w:val="Nvel2-PG"/>
      </w:pPr>
      <w:bookmarkStart w:id="27" w:name="_Toc488678331"/>
      <w:r w:rsidRPr="008E2AA9">
        <w:t xml:space="preserve">2.2 Efeitos viscosos em escoamentos </w:t>
      </w:r>
      <w:r>
        <w:t>tu</w:t>
      </w:r>
      <w:r w:rsidRPr="008E2AA9">
        <w:t>rbulento</w:t>
      </w:r>
      <w:r>
        <w:t>s</w:t>
      </w:r>
      <w:bookmarkEnd w:id="27"/>
    </w:p>
    <w:p w:rsidR="00BD16CD" w:rsidRPr="00924B87" w:rsidRDefault="00BD16CD" w:rsidP="00BB16B2">
      <w:pPr>
        <w:rPr>
          <w:b/>
        </w:rPr>
      </w:pPr>
      <w:r w:rsidRPr="00924B87">
        <w:t xml:space="preserve">Em escoamentos completamente desenvolvidos em tubos horizontais lisos (isto é, com uma rugosidade desprezível), independente do escoamento ser laminar ou </w:t>
      </w:r>
      <w:r w:rsidRPr="00924B87">
        <w:lastRenderedPageBreak/>
        <w:t xml:space="preserve">turbulento, a queda de pressão é proporcional a tensão de cisalhamento nas paredes do tubo. </w:t>
      </w:r>
    </w:p>
    <w:p w:rsidR="00BD16CD" w:rsidRDefault="00BD16CD" w:rsidP="00BB16B2">
      <w:r w:rsidRPr="00924B87">
        <w:t>Segundo Fox [</w:t>
      </w:r>
      <w:r w:rsidR="00815BA0">
        <w:t>23</w:t>
      </w:r>
      <w:r w:rsidRPr="00924B87">
        <w:t xml:space="preserve">], considerando um espaço anular diferencial como volume de controle de um escoamento axissimétrico, é possível observar alguns aspectos importante da mecânica dos fluidos, como mostrado na </w:t>
      </w:r>
      <w:r w:rsidR="004C1D84">
        <w:fldChar w:fldCharType="begin"/>
      </w:r>
      <w:r w:rsidR="004C1D84">
        <w:instrText xml:space="preserve"> REF _Ref488096466 \h </w:instrText>
      </w:r>
      <w:r w:rsidR="00BB16B2">
        <w:instrText xml:space="preserve"> \* MERGEFORMAT </w:instrText>
      </w:r>
      <w:r w:rsidR="004C1D84">
        <w:fldChar w:fldCharType="separate"/>
      </w:r>
      <w:r w:rsidR="00651DD0" w:rsidRPr="00651DD0">
        <w:rPr>
          <w:color w:val="000000" w:themeColor="text1"/>
        </w:rPr>
        <w:t xml:space="preserve">Figura </w:t>
      </w:r>
      <w:r w:rsidR="00651DD0" w:rsidRPr="00651DD0">
        <w:rPr>
          <w:noProof/>
          <w:color w:val="000000" w:themeColor="text1"/>
        </w:rPr>
        <w:t>5</w:t>
      </w:r>
      <w:r w:rsidR="004C1D84">
        <w:fldChar w:fldCharType="end"/>
      </w:r>
      <w:r w:rsidRPr="00924B87">
        <w:t>.</w:t>
      </w:r>
    </w:p>
    <w:p w:rsidR="00771C7D" w:rsidRPr="00924B87" w:rsidRDefault="00771C7D" w:rsidP="00BB16B2">
      <w:pPr>
        <w:rPr>
          <w:b/>
        </w:rPr>
      </w:pPr>
    </w:p>
    <w:p w:rsidR="00BD16CD" w:rsidRPr="00771C7D" w:rsidRDefault="00BD16CD" w:rsidP="00771C7D">
      <w:pPr>
        <w:pStyle w:val="Figura-PG"/>
      </w:pPr>
      <w:bookmarkStart w:id="28" w:name="_Ref488096466"/>
      <w:bookmarkStart w:id="29" w:name="_Toc488706046"/>
      <w:r w:rsidRPr="00771C7D">
        <w:t xml:space="preserve">Figura </w:t>
      </w:r>
      <w:fldSimple w:instr=" SEQ Figura \* ARABIC ">
        <w:r w:rsidR="004C240D">
          <w:rPr>
            <w:noProof/>
          </w:rPr>
          <w:t>5</w:t>
        </w:r>
      </w:fldSimple>
      <w:bookmarkEnd w:id="28"/>
      <w:r w:rsidR="00450291">
        <w:rPr>
          <w:noProof/>
        </w:rPr>
        <w:t xml:space="preserve"> </w:t>
      </w:r>
      <w:r w:rsidR="00450291">
        <w:t xml:space="preserve">- </w:t>
      </w:r>
      <w:r w:rsidRPr="00771C7D">
        <w:t>Volume de controle diferencial para análise de escoamento laminar completamente desenvolvido em tubo.</w:t>
      </w:r>
      <w:bookmarkEnd w:id="29"/>
    </w:p>
    <w:p w:rsidR="004D2E29" w:rsidRPr="009151C9" w:rsidRDefault="00BD16CD" w:rsidP="00BB16B2">
      <w:pPr>
        <w:rPr>
          <w:rFonts w:ascii="Times New Roman" w:hAnsi="Times New Roman" w:cs="Times New Roman"/>
          <w:color w:val="000000" w:themeColor="text1"/>
          <w:sz w:val="20"/>
          <w:szCs w:val="20"/>
        </w:rPr>
      </w:pPr>
      <w:r w:rsidRPr="00924B87">
        <w:rPr>
          <w:rFonts w:ascii="Times New Roman" w:hAnsi="Times New Roman" w:cs="Times New Roman"/>
          <w:noProof/>
          <w:color w:val="000000" w:themeColor="text1"/>
          <w:sz w:val="20"/>
          <w:szCs w:val="20"/>
          <w:lang w:eastAsia="pt-BR"/>
        </w:rPr>
        <w:drawing>
          <wp:inline distT="0" distB="0" distL="0" distR="0" wp14:anchorId="5236163E" wp14:editId="00001807">
            <wp:extent cx="5485181" cy="1725472"/>
            <wp:effectExtent l="0" t="0" r="1270" b="825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3451" cy="1750094"/>
                    </a:xfrm>
                    <a:prstGeom prst="rect">
                      <a:avLst/>
                    </a:prstGeom>
                    <a:noFill/>
                    <a:ln>
                      <a:noFill/>
                    </a:ln>
                  </pic:spPr>
                </pic:pic>
              </a:graphicData>
            </a:graphic>
          </wp:inline>
        </w:drawing>
      </w:r>
    </w:p>
    <w:p w:rsidR="00BD16CD" w:rsidRDefault="004D2E29" w:rsidP="004D2E29">
      <w:pPr>
        <w:jc w:val="center"/>
      </w:pPr>
      <w:r>
        <w:t>Fonte: (</w:t>
      </w:r>
      <w:r w:rsidR="00CB0CA2">
        <w:t>FOX e MCDONALD,</w:t>
      </w:r>
      <w:r>
        <w:t xml:space="preserve"> 2014)</w:t>
      </w:r>
    </w:p>
    <w:p w:rsidR="004D2E29" w:rsidRPr="00924B87" w:rsidRDefault="004D2E29" w:rsidP="00BB16B2"/>
    <w:p w:rsidR="00BD16CD" w:rsidRDefault="00BD16CD" w:rsidP="00BB16B2">
      <w:r w:rsidRPr="00924B87">
        <w:t xml:space="preserve">Para um regime permanente completamente desenvolvido, </w:t>
      </w:r>
      <w:r>
        <w:t>e fazendo uma análise da quantidade de movimento na componente x d</w:t>
      </w:r>
      <w:r w:rsidRPr="00924B87">
        <w:t>o volume de controle diferencia</w:t>
      </w:r>
      <w:r w:rsidR="00171B29">
        <w:t xml:space="preserve">l, obtemos a </w:t>
      </w:r>
      <w:r w:rsidR="00171B29">
        <w:fldChar w:fldCharType="begin"/>
      </w:r>
      <w:r w:rsidR="00171B29">
        <w:instrText xml:space="preserve"> REF _Ref488096646 \h </w:instrText>
      </w:r>
      <w:r w:rsidR="00BB16B2">
        <w:instrText xml:space="preserve"> \* MERGEFORMAT </w:instrText>
      </w:r>
      <w:r w:rsidR="00171B29">
        <w:fldChar w:fldCharType="separate"/>
      </w:r>
      <w:r w:rsidR="00380A8E" w:rsidRPr="00380A8E">
        <w:t xml:space="preserve">Equação </w:t>
      </w:r>
      <w:r w:rsidR="00380A8E" w:rsidRPr="00380A8E">
        <w:rPr>
          <w:noProof/>
        </w:rPr>
        <w:t>6</w:t>
      </w:r>
      <w:r w:rsidR="00171B29">
        <w:fldChar w:fldCharType="end"/>
      </w:r>
      <w:r w:rsidR="00171B29">
        <w:t>, ou seja,</w:t>
      </w:r>
    </w:p>
    <w:tbl>
      <w:tblPr>
        <w:tblStyle w:val="Tabelacomgrade"/>
        <w:tblW w:w="0" w:type="auto"/>
        <w:tblCellMar>
          <w:left w:w="0" w:type="dxa"/>
          <w:right w:w="0" w:type="dxa"/>
        </w:tblCellMar>
        <w:tblLook w:val="04A0" w:firstRow="1" w:lastRow="0" w:firstColumn="1" w:lastColumn="0" w:noHBand="0" w:noVBand="1"/>
      </w:tblPr>
      <w:tblGrid>
        <w:gridCol w:w="8395"/>
        <w:gridCol w:w="676"/>
      </w:tblGrid>
      <w:tr w:rsidR="004C1D84" w:rsidTr="004C1D84">
        <w:tc>
          <w:tcPr>
            <w:tcW w:w="8395" w:type="dxa"/>
            <w:tcBorders>
              <w:top w:val="nil"/>
              <w:left w:val="nil"/>
              <w:bottom w:val="nil"/>
              <w:right w:val="nil"/>
            </w:tcBorders>
            <w:vAlign w:val="center"/>
          </w:tcPr>
          <w:p w:rsidR="004C1D84" w:rsidRPr="005445F8" w:rsidRDefault="00D83C6E" w:rsidP="00BB16B2">
            <w:pPr>
              <w:rPr>
                <w:rFonts w:ascii="Cambria Math" w:hAnsi="Cambria Math" w:cs="Arial"/>
                <w:i/>
                <w:szCs w:val="24"/>
              </w:rPr>
            </w:pPr>
            <m:oMathPara>
              <m:oMath>
                <m:sSub>
                  <m:sSubPr>
                    <m:ctrlPr>
                      <w:rPr>
                        <w:rFonts w:ascii="Cambria Math" w:hAnsi="Cambria Math" w:cs="Arial"/>
                        <w:i/>
                        <w:szCs w:val="24"/>
                      </w:rPr>
                    </m:ctrlPr>
                  </m:sSubPr>
                  <m:e>
                    <m:r>
                      <w:rPr>
                        <w:rFonts w:ascii="Cambria Math" w:hAnsi="Cambria Math" w:cs="Arial"/>
                        <w:szCs w:val="24"/>
                      </w:rPr>
                      <m:t>F</m:t>
                    </m:r>
                  </m:e>
                  <m:sub>
                    <m:sSub>
                      <m:sSubPr>
                        <m:ctrlPr>
                          <w:rPr>
                            <w:rFonts w:ascii="Cambria Math" w:hAnsi="Cambria Math" w:cs="Arial"/>
                            <w:i/>
                            <w:szCs w:val="24"/>
                          </w:rPr>
                        </m:ctrlPr>
                      </m:sSubPr>
                      <m:e>
                        <m:r>
                          <w:rPr>
                            <w:rFonts w:ascii="Cambria Math" w:hAnsi="Cambria Math" w:cs="Arial"/>
                            <w:szCs w:val="24"/>
                          </w:rPr>
                          <m:t>S</m:t>
                        </m:r>
                      </m:e>
                      <m:sub>
                        <m:r>
                          <w:rPr>
                            <w:rFonts w:ascii="Cambria Math" w:hAnsi="Cambria Math" w:cs="Arial"/>
                            <w:szCs w:val="24"/>
                          </w:rPr>
                          <m:t>x</m:t>
                        </m:r>
                      </m:sub>
                    </m:sSub>
                  </m:sub>
                </m:sSub>
                <m:r>
                  <w:rPr>
                    <w:rFonts w:ascii="Cambria Math" w:hAnsi="Cambria Math" w:cs="Arial"/>
                    <w:szCs w:val="24"/>
                  </w:rPr>
                  <m:t>=0</m:t>
                </m:r>
              </m:oMath>
            </m:oMathPara>
          </w:p>
        </w:tc>
        <w:tc>
          <w:tcPr>
            <w:tcW w:w="676" w:type="dxa"/>
            <w:tcBorders>
              <w:top w:val="nil"/>
              <w:left w:val="nil"/>
              <w:bottom w:val="nil"/>
              <w:right w:val="nil"/>
            </w:tcBorders>
            <w:vAlign w:val="center"/>
          </w:tcPr>
          <w:p w:rsidR="004C1D84" w:rsidRDefault="004C1D84" w:rsidP="00BB16B2">
            <w:pPr>
              <w:rPr>
                <w:rFonts w:cs="Arial"/>
                <w:szCs w:val="24"/>
              </w:rPr>
            </w:pPr>
            <w:r>
              <w:rPr>
                <w:rFonts w:cs="Arial"/>
                <w:szCs w:val="24"/>
              </w:rPr>
              <w:t>(6)</w:t>
            </w:r>
          </w:p>
        </w:tc>
      </w:tr>
    </w:tbl>
    <w:p w:rsidR="004C1D84" w:rsidRPr="00171B29" w:rsidRDefault="00171B29" w:rsidP="00BB16B2">
      <w:pPr>
        <w:rPr>
          <w:color w:val="FFFFFF" w:themeColor="background1"/>
        </w:rPr>
      </w:pPr>
      <w:bookmarkStart w:id="30" w:name="_Ref488096646"/>
      <w:r w:rsidRPr="00171B29">
        <w:rPr>
          <w:color w:val="FFFFFF" w:themeColor="background1"/>
        </w:rPr>
        <w:t xml:space="preserve">Equação </w:t>
      </w:r>
      <w:r w:rsidR="001144AF">
        <w:rPr>
          <w:color w:val="FFFFFF" w:themeColor="background1"/>
        </w:rPr>
        <w:fldChar w:fldCharType="begin"/>
      </w:r>
      <w:r w:rsidR="001144AF">
        <w:rPr>
          <w:color w:val="FFFFFF" w:themeColor="background1"/>
        </w:rPr>
        <w:instrText xml:space="preserve"> SEQ Equação \* ARABIC </w:instrText>
      </w:r>
      <w:r w:rsidR="001144AF">
        <w:rPr>
          <w:color w:val="FFFFFF" w:themeColor="background1"/>
        </w:rPr>
        <w:fldChar w:fldCharType="separate"/>
      </w:r>
      <w:r w:rsidR="001144AF">
        <w:rPr>
          <w:noProof/>
          <w:color w:val="FFFFFF" w:themeColor="background1"/>
        </w:rPr>
        <w:t>6</w:t>
      </w:r>
      <w:r w:rsidR="001144AF">
        <w:rPr>
          <w:color w:val="FFFFFF" w:themeColor="background1"/>
        </w:rPr>
        <w:fldChar w:fldCharType="end"/>
      </w:r>
      <w:bookmarkEnd w:id="30"/>
    </w:p>
    <w:p w:rsidR="00BD16CD" w:rsidRDefault="00BD16CD" w:rsidP="00BB16B2">
      <w:r w:rsidRPr="00F95842">
        <w:rPr>
          <w:rFonts w:eastAsiaTheme="minorEastAsia"/>
        </w:rPr>
        <w:t>S</w:t>
      </w:r>
      <w:r>
        <w:t xml:space="preserve">omando as forças normais (forças de pressão), que atuam nas extremidades esquerda e direita do volume de controle, </w:t>
      </w:r>
      <w:r w:rsidR="00171B29">
        <w:t>com</w:t>
      </w:r>
      <w:r>
        <w:t xml:space="preserve"> as forças tangenciais (forças cisalhantes), que atuam nas superfícies cilíndricas interna e externa, obtemos a condiçã</w:t>
      </w:r>
      <w:r w:rsidR="00171B29">
        <w:t xml:space="preserve">o apresentada pela </w:t>
      </w:r>
      <w:r w:rsidR="00171B29">
        <w:fldChar w:fldCharType="begin"/>
      </w:r>
      <w:r w:rsidR="00171B29">
        <w:instrText xml:space="preserve"> REF _Ref488096730 \h </w:instrText>
      </w:r>
      <w:r w:rsidR="00BB16B2">
        <w:instrText xml:space="preserve"> \* MERGEFORMAT </w:instrText>
      </w:r>
      <w:r w:rsidR="00171B29">
        <w:fldChar w:fldCharType="separate"/>
      </w:r>
      <w:r w:rsidR="00380A8E" w:rsidRPr="00380A8E">
        <w:t xml:space="preserve">Equação </w:t>
      </w:r>
      <w:r w:rsidR="00380A8E" w:rsidRPr="00380A8E">
        <w:rPr>
          <w:noProof/>
        </w:rPr>
        <w:t>7</w:t>
      </w:r>
      <w:r w:rsidR="00171B29">
        <w:fldChar w:fldCharType="end"/>
      </w:r>
      <w:r w:rsidR="00171B29">
        <w:t>.</w:t>
      </w:r>
    </w:p>
    <w:tbl>
      <w:tblPr>
        <w:tblStyle w:val="Tabelacomgrade"/>
        <w:tblW w:w="0" w:type="auto"/>
        <w:tblCellMar>
          <w:left w:w="0" w:type="dxa"/>
          <w:right w:w="0" w:type="dxa"/>
        </w:tblCellMar>
        <w:tblLook w:val="04A0" w:firstRow="1" w:lastRow="0" w:firstColumn="1" w:lastColumn="0" w:noHBand="0" w:noVBand="1"/>
      </w:tblPr>
      <w:tblGrid>
        <w:gridCol w:w="8395"/>
        <w:gridCol w:w="676"/>
      </w:tblGrid>
      <w:tr w:rsidR="00171B29" w:rsidTr="00715698">
        <w:tc>
          <w:tcPr>
            <w:tcW w:w="8395" w:type="dxa"/>
            <w:tcBorders>
              <w:top w:val="nil"/>
              <w:left w:val="nil"/>
              <w:bottom w:val="nil"/>
              <w:right w:val="nil"/>
            </w:tcBorders>
            <w:vAlign w:val="center"/>
          </w:tcPr>
          <w:p w:rsidR="00171B29" w:rsidRPr="00171B29" w:rsidRDefault="00D83C6E" w:rsidP="00BB16B2">
            <w:pPr>
              <w:rPr>
                <w:rFonts w:eastAsiaTheme="minorEastAsia"/>
              </w:rPr>
            </w:pPr>
            <m:oMathPara>
              <m:oMath>
                <m:sSub>
                  <m:sSubPr>
                    <m:ctrlPr>
                      <w:rPr>
                        <w:rFonts w:ascii="Cambria Math" w:hAnsi="Cambria Math"/>
                        <w:i/>
                      </w:rPr>
                    </m:ctrlPr>
                  </m:sSubPr>
                  <m:e>
                    <m:r>
                      <w:rPr>
                        <w:rFonts w:ascii="Cambria Math" w:hAnsi="Cambria Math"/>
                      </w:rPr>
                      <m:t>F</m:t>
                    </m:r>
                  </m:e>
                  <m:sub>
                    <m:sSub>
                      <m:sSubPr>
                        <m:ctrlPr>
                          <w:rPr>
                            <w:rFonts w:ascii="Cambria Math" w:hAnsi="Cambria Math"/>
                            <w:i/>
                          </w:rPr>
                        </m:ctrlPr>
                      </m:sSubPr>
                      <m:e>
                        <m:r>
                          <w:rPr>
                            <w:rFonts w:ascii="Cambria Math" w:hAnsi="Cambria Math"/>
                          </w:rPr>
                          <m:t>S</m:t>
                        </m:r>
                      </m:e>
                      <m:sub>
                        <m:r>
                          <w:rPr>
                            <w:rFonts w:ascii="Cambria Math" w:hAnsi="Cambria Math"/>
                          </w:rPr>
                          <m:t>x</m:t>
                        </m:r>
                      </m:sub>
                    </m:sSub>
                  </m:sub>
                </m:sSub>
                <m:r>
                  <w:rPr>
                    <w:rFonts w:ascii="Cambria Math" w:hAnsi="Cambria Math"/>
                  </w:rPr>
                  <m:t xml:space="preserve">=- </m:t>
                </m:r>
                <m:f>
                  <m:fPr>
                    <m:ctrlPr>
                      <w:rPr>
                        <w:rFonts w:ascii="Cambria Math" w:hAnsi="Cambria Math"/>
                        <w:i/>
                      </w:rPr>
                    </m:ctrlPr>
                  </m:fPr>
                  <m:num>
                    <m:r>
                      <w:rPr>
                        <w:rFonts w:ascii="Cambria Math" w:hAnsi="Cambria Math"/>
                      </w:rPr>
                      <m:t>∂p</m:t>
                    </m:r>
                  </m:num>
                  <m:den>
                    <m:r>
                      <w:rPr>
                        <w:rFonts w:ascii="Cambria Math" w:hAnsi="Cambria Math"/>
                      </w:rPr>
                      <m:t>∂x</m:t>
                    </m:r>
                  </m:den>
                </m:f>
                <m:r>
                  <w:rPr>
                    <w:rFonts w:ascii="Cambria Math" w:hAnsi="Cambria Math"/>
                  </w:rPr>
                  <m:t>2πr dr dx</m:t>
                </m:r>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rx</m:t>
                    </m:r>
                  </m:sub>
                </m:sSub>
                <m:r>
                  <w:rPr>
                    <w:rFonts w:ascii="Cambria Math" w:eastAsiaTheme="minorEastAsia" w:hAnsi="Cambria Math"/>
                  </w:rPr>
                  <m:t>2π dr dx+</m:t>
                </m:r>
                <m:f>
                  <m:fPr>
                    <m:ctrlPr>
                      <w:rPr>
                        <w:rFonts w:ascii="Cambria Math" w:eastAsiaTheme="minorEastAsia" w:hAnsi="Cambria Math"/>
                        <w:i/>
                      </w:rPr>
                    </m:ctrlPr>
                  </m:fPr>
                  <m:num>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rx</m:t>
                        </m:r>
                      </m:sub>
                    </m:sSub>
                  </m:num>
                  <m:den>
                    <m:r>
                      <w:rPr>
                        <w:rFonts w:ascii="Cambria Math" w:eastAsiaTheme="minorEastAsia" w:hAnsi="Cambria Math"/>
                      </w:rPr>
                      <m:t>dr</m:t>
                    </m:r>
                  </m:den>
                </m:f>
                <m:r>
                  <w:rPr>
                    <w:rFonts w:ascii="Cambria Math" w:eastAsiaTheme="minorEastAsia" w:hAnsi="Cambria Math"/>
                  </w:rPr>
                  <m:t>2πr dr dx=0</m:t>
                </m:r>
              </m:oMath>
            </m:oMathPara>
          </w:p>
        </w:tc>
        <w:tc>
          <w:tcPr>
            <w:tcW w:w="676" w:type="dxa"/>
            <w:tcBorders>
              <w:top w:val="nil"/>
              <w:left w:val="nil"/>
              <w:bottom w:val="nil"/>
              <w:right w:val="nil"/>
            </w:tcBorders>
            <w:vAlign w:val="center"/>
          </w:tcPr>
          <w:p w:rsidR="00171B29" w:rsidRDefault="00171B29" w:rsidP="00BB16B2">
            <w:pPr>
              <w:rPr>
                <w:rFonts w:cs="Arial"/>
                <w:szCs w:val="24"/>
              </w:rPr>
            </w:pPr>
            <w:r>
              <w:rPr>
                <w:rFonts w:cs="Arial"/>
                <w:szCs w:val="24"/>
              </w:rPr>
              <w:t>(7)</w:t>
            </w:r>
          </w:p>
        </w:tc>
      </w:tr>
    </w:tbl>
    <w:p w:rsidR="00171B29" w:rsidRPr="00F95842" w:rsidRDefault="00171B29" w:rsidP="00BB16B2">
      <w:pPr>
        <w:rPr>
          <w:rFonts w:eastAsiaTheme="minorEastAsia"/>
        </w:rPr>
      </w:pPr>
      <w:bookmarkStart w:id="31" w:name="_Ref488096730"/>
      <w:r w:rsidRPr="00171B29">
        <w:rPr>
          <w:color w:val="FFFFFF" w:themeColor="background1"/>
        </w:rPr>
        <w:t xml:space="preserve">Equação </w:t>
      </w:r>
      <w:r w:rsidR="001144AF">
        <w:rPr>
          <w:color w:val="FFFFFF" w:themeColor="background1"/>
        </w:rPr>
        <w:fldChar w:fldCharType="begin"/>
      </w:r>
      <w:r w:rsidR="001144AF">
        <w:rPr>
          <w:color w:val="FFFFFF" w:themeColor="background1"/>
        </w:rPr>
        <w:instrText xml:space="preserve"> SEQ Equação \* ARABIC </w:instrText>
      </w:r>
      <w:r w:rsidR="001144AF">
        <w:rPr>
          <w:color w:val="FFFFFF" w:themeColor="background1"/>
        </w:rPr>
        <w:fldChar w:fldCharType="separate"/>
      </w:r>
      <w:r w:rsidR="001144AF">
        <w:rPr>
          <w:noProof/>
          <w:color w:val="FFFFFF" w:themeColor="background1"/>
        </w:rPr>
        <w:t>7</w:t>
      </w:r>
      <w:r w:rsidR="001144AF">
        <w:rPr>
          <w:color w:val="FFFFFF" w:themeColor="background1"/>
        </w:rPr>
        <w:fldChar w:fldCharType="end"/>
      </w:r>
      <w:bookmarkEnd w:id="31"/>
    </w:p>
    <w:p w:rsidR="00BD16CD" w:rsidRDefault="00BD16CD" w:rsidP="00BB16B2">
      <w:pPr>
        <w:rPr>
          <w:rFonts w:eastAsiaTheme="minorEastAsia"/>
        </w:rPr>
      </w:pPr>
      <w:r>
        <w:rPr>
          <w:rFonts w:eastAsiaTheme="minorEastAsia"/>
        </w:rPr>
        <w:t>A</w:t>
      </w:r>
      <w:r w:rsidRPr="002F70FD">
        <w:rPr>
          <w:rFonts w:eastAsiaTheme="minorEastAsia"/>
        </w:rPr>
        <w:t>nulando termos iguais e resolvendo</w:t>
      </w:r>
      <w:r w:rsidR="00171B29">
        <w:rPr>
          <w:rFonts w:eastAsiaTheme="minorEastAsia"/>
        </w:rPr>
        <w:t xml:space="preserve"> a equação,</w:t>
      </w:r>
      <w:r w:rsidRPr="002F70FD">
        <w:rPr>
          <w:rFonts w:eastAsiaTheme="minorEastAsia"/>
        </w:rPr>
        <w:t xml:space="preserve"> chegamos a relação entre o gradiente de</w:t>
      </w:r>
      <w:r>
        <w:rPr>
          <w:rFonts w:eastAsiaTheme="minorEastAsia"/>
        </w:rPr>
        <w:t xml:space="preserve"> </w:t>
      </w:r>
      <w:r w:rsidRPr="002F70FD">
        <w:rPr>
          <w:rFonts w:eastAsiaTheme="minorEastAsia"/>
        </w:rPr>
        <w:t>pre</w:t>
      </w:r>
      <w:r w:rsidR="00171B29">
        <w:rPr>
          <w:rFonts w:eastAsiaTheme="minorEastAsia"/>
        </w:rPr>
        <w:t>ssão e a tensão de cisalhamento (</w:t>
      </w:r>
      <w:r w:rsidR="00171B29">
        <w:rPr>
          <w:rFonts w:eastAsiaTheme="minorEastAsia"/>
        </w:rPr>
        <w:fldChar w:fldCharType="begin"/>
      </w:r>
      <w:r w:rsidR="00171B29">
        <w:rPr>
          <w:rFonts w:eastAsiaTheme="minorEastAsia"/>
        </w:rPr>
        <w:instrText xml:space="preserve"> REF _Ref488096837 \h </w:instrText>
      </w:r>
      <w:r w:rsidR="00BB16B2">
        <w:rPr>
          <w:rFonts w:eastAsiaTheme="minorEastAsia"/>
        </w:rPr>
        <w:instrText xml:space="preserve"> \* MERGEFORMAT </w:instrText>
      </w:r>
      <w:r w:rsidR="00171B29">
        <w:rPr>
          <w:rFonts w:eastAsiaTheme="minorEastAsia"/>
        </w:rPr>
      </w:r>
      <w:r w:rsidR="00171B29">
        <w:rPr>
          <w:rFonts w:eastAsiaTheme="minorEastAsia"/>
        </w:rPr>
        <w:fldChar w:fldCharType="separate"/>
      </w:r>
      <w:r w:rsidR="00380A8E" w:rsidRPr="00380A8E">
        <w:t xml:space="preserve">Equação </w:t>
      </w:r>
      <w:r w:rsidR="00380A8E" w:rsidRPr="00380A8E">
        <w:rPr>
          <w:noProof/>
        </w:rPr>
        <w:t>8</w:t>
      </w:r>
      <w:r w:rsidR="00171B29">
        <w:rPr>
          <w:rFonts w:eastAsiaTheme="minorEastAsia"/>
        </w:rPr>
        <w:fldChar w:fldCharType="end"/>
      </w:r>
      <w:r w:rsidR="00171B29">
        <w:rPr>
          <w:rFonts w:eastAsiaTheme="minorEastAsia"/>
        </w:rPr>
        <w:t>).</w:t>
      </w:r>
    </w:p>
    <w:tbl>
      <w:tblPr>
        <w:tblStyle w:val="Tabelacomgrade"/>
        <w:tblW w:w="0" w:type="auto"/>
        <w:tblCellMar>
          <w:left w:w="0" w:type="dxa"/>
          <w:right w:w="0" w:type="dxa"/>
        </w:tblCellMar>
        <w:tblLook w:val="04A0" w:firstRow="1" w:lastRow="0" w:firstColumn="1" w:lastColumn="0" w:noHBand="0" w:noVBand="1"/>
      </w:tblPr>
      <w:tblGrid>
        <w:gridCol w:w="8395"/>
        <w:gridCol w:w="676"/>
      </w:tblGrid>
      <w:tr w:rsidR="00171B29" w:rsidTr="00715698">
        <w:tc>
          <w:tcPr>
            <w:tcW w:w="8395" w:type="dxa"/>
            <w:tcBorders>
              <w:top w:val="nil"/>
              <w:left w:val="nil"/>
              <w:bottom w:val="nil"/>
              <w:right w:val="nil"/>
            </w:tcBorders>
            <w:vAlign w:val="center"/>
          </w:tcPr>
          <w:p w:rsidR="00171B29" w:rsidRPr="00171B29" w:rsidRDefault="00D83C6E" w:rsidP="00BB16B2">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rx</m:t>
                    </m:r>
                  </m:sub>
                </m:sSub>
                <m:r>
                  <w:rPr>
                    <w:rFonts w:ascii="Cambria Math" w:eastAsiaTheme="minorEastAsia" w:hAnsi="Cambria Math"/>
                  </w:rPr>
                  <m:t>= μ</m:t>
                </m:r>
                <m:f>
                  <m:fPr>
                    <m:ctrlPr>
                      <w:rPr>
                        <w:rFonts w:ascii="Cambria Math" w:eastAsiaTheme="minorEastAsia" w:hAnsi="Cambria Math"/>
                        <w:i/>
                      </w:rPr>
                    </m:ctrlPr>
                  </m:fPr>
                  <m:num>
                    <m:r>
                      <w:rPr>
                        <w:rFonts w:ascii="Cambria Math" w:eastAsiaTheme="minorEastAsia" w:hAnsi="Cambria Math"/>
                      </w:rPr>
                      <m:t>du</m:t>
                    </m:r>
                  </m:num>
                  <m:den>
                    <m:r>
                      <w:rPr>
                        <w:rFonts w:ascii="Cambria Math" w:eastAsiaTheme="minorEastAsia" w:hAnsi="Cambria Math"/>
                      </w:rPr>
                      <m:t>dr</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r</m:t>
                    </m:r>
                  </m:num>
                  <m:den>
                    <m:r>
                      <w:rPr>
                        <w:rFonts w:ascii="Cambria Math" w:eastAsiaTheme="minorEastAsia" w:hAnsi="Cambria Math"/>
                      </w:rPr>
                      <m:t>2</m:t>
                    </m:r>
                  </m:den>
                </m:f>
                <m:r>
                  <w:rPr>
                    <w:rFonts w:ascii="Cambria Math" w:eastAsiaTheme="minorEastAsia" w:hAnsi="Cambria Math"/>
                  </w:rPr>
                  <m:t xml:space="preserve"> </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hAnsi="Cambria Math"/>
                          </w:rPr>
                          <m:t>∂p</m:t>
                        </m:r>
                      </m:num>
                      <m:den>
                        <m:r>
                          <w:rPr>
                            <w:rFonts w:ascii="Cambria Math" w:hAnsi="Cambria Math"/>
                          </w:rPr>
                          <m:t>∂x</m:t>
                        </m:r>
                      </m:den>
                    </m:f>
                  </m:e>
                </m:d>
              </m:oMath>
            </m:oMathPara>
          </w:p>
        </w:tc>
        <w:tc>
          <w:tcPr>
            <w:tcW w:w="676" w:type="dxa"/>
            <w:tcBorders>
              <w:top w:val="nil"/>
              <w:left w:val="nil"/>
              <w:bottom w:val="nil"/>
              <w:right w:val="nil"/>
            </w:tcBorders>
            <w:vAlign w:val="center"/>
          </w:tcPr>
          <w:p w:rsidR="00171B29" w:rsidRDefault="00171B29" w:rsidP="00BB16B2">
            <w:pPr>
              <w:rPr>
                <w:rFonts w:cs="Arial"/>
                <w:szCs w:val="24"/>
              </w:rPr>
            </w:pPr>
            <w:r>
              <w:rPr>
                <w:rFonts w:cs="Arial"/>
                <w:szCs w:val="24"/>
              </w:rPr>
              <w:t>(8)</w:t>
            </w:r>
          </w:p>
        </w:tc>
      </w:tr>
    </w:tbl>
    <w:p w:rsidR="00171B29" w:rsidRPr="00171B29" w:rsidRDefault="00171B29" w:rsidP="00BB16B2">
      <w:pPr>
        <w:rPr>
          <w:rFonts w:eastAsiaTheme="minorEastAsia"/>
          <w:color w:val="FFFFFF" w:themeColor="background1"/>
        </w:rPr>
      </w:pPr>
      <w:bookmarkStart w:id="32" w:name="_Ref488096837"/>
      <w:r w:rsidRPr="00171B29">
        <w:rPr>
          <w:color w:val="FFFFFF" w:themeColor="background1"/>
        </w:rPr>
        <w:t xml:space="preserve">Equação </w:t>
      </w:r>
      <w:r w:rsidR="001144AF">
        <w:rPr>
          <w:color w:val="FFFFFF" w:themeColor="background1"/>
        </w:rPr>
        <w:fldChar w:fldCharType="begin"/>
      </w:r>
      <w:r w:rsidR="001144AF">
        <w:rPr>
          <w:color w:val="FFFFFF" w:themeColor="background1"/>
        </w:rPr>
        <w:instrText xml:space="preserve"> SEQ Equação \* ARABIC </w:instrText>
      </w:r>
      <w:r w:rsidR="001144AF">
        <w:rPr>
          <w:color w:val="FFFFFF" w:themeColor="background1"/>
        </w:rPr>
        <w:fldChar w:fldCharType="separate"/>
      </w:r>
      <w:r w:rsidR="001144AF">
        <w:rPr>
          <w:noProof/>
          <w:color w:val="FFFFFF" w:themeColor="background1"/>
        </w:rPr>
        <w:t>8</w:t>
      </w:r>
      <w:r w:rsidR="001144AF">
        <w:rPr>
          <w:color w:val="FFFFFF" w:themeColor="background1"/>
        </w:rPr>
        <w:fldChar w:fldCharType="end"/>
      </w:r>
      <w:bookmarkEnd w:id="32"/>
    </w:p>
    <w:p w:rsidR="00BD16CD" w:rsidRDefault="00171B29" w:rsidP="00BB16B2">
      <w:pPr>
        <w:rPr>
          <w:rFonts w:eastAsiaTheme="minorEastAsia"/>
        </w:rPr>
      </w:pPr>
      <w:r>
        <w:rPr>
          <w:rFonts w:eastAsiaTheme="minorEastAsia"/>
        </w:rPr>
        <w:lastRenderedPageBreak/>
        <w:t>Esta equação é importante por tornar possível a análise</w:t>
      </w:r>
      <w:r w:rsidR="00BD16CD" w:rsidRPr="001C5638">
        <w:rPr>
          <w:rFonts w:eastAsiaTheme="minorEastAsia"/>
        </w:rPr>
        <w:t xml:space="preserve"> </w:t>
      </w:r>
      <w:r>
        <w:rPr>
          <w:rFonts w:eastAsiaTheme="minorEastAsia"/>
        </w:rPr>
        <w:t xml:space="preserve">de </w:t>
      </w:r>
      <w:r w:rsidR="00BD16CD" w:rsidRPr="001C5638">
        <w:rPr>
          <w:rFonts w:eastAsiaTheme="minorEastAsia"/>
        </w:rPr>
        <w:t>que a tensão de</w:t>
      </w:r>
      <w:r w:rsidR="00BD16CD">
        <w:rPr>
          <w:rFonts w:eastAsiaTheme="minorEastAsia"/>
        </w:rPr>
        <w:t xml:space="preserve"> </w:t>
      </w:r>
      <w:r w:rsidR="00BD16CD" w:rsidRPr="001C5638">
        <w:rPr>
          <w:rFonts w:eastAsiaTheme="minorEastAsia"/>
        </w:rPr>
        <w:t xml:space="preserve">cisalhamento depende da distância da parede </w:t>
      </w:r>
      <w:r w:rsidR="00BD16CD">
        <w:rPr>
          <w:rFonts w:eastAsiaTheme="minorEastAsia"/>
        </w:rPr>
        <w:t xml:space="preserve">sendo nula na linha de centro e máxima na </w:t>
      </w:r>
      <w:r w:rsidR="00BD16CD" w:rsidRPr="001C5638">
        <w:rPr>
          <w:rFonts w:eastAsiaTheme="minorEastAsia"/>
        </w:rPr>
        <w:t xml:space="preserve">parede. Aqui não estamos considerando a tensão </w:t>
      </w:r>
      <w:r w:rsidR="00BD16CD">
        <w:rPr>
          <w:rFonts w:eastAsiaTheme="minorEastAsia"/>
        </w:rPr>
        <w:t>de Reynolds que surge durante a tur</w:t>
      </w:r>
      <w:r>
        <w:rPr>
          <w:rFonts w:eastAsiaTheme="minorEastAsia"/>
        </w:rPr>
        <w:t xml:space="preserve">bulência. </w:t>
      </w:r>
      <w:r w:rsidR="00BD16CD" w:rsidRPr="001C5638">
        <w:rPr>
          <w:rFonts w:eastAsiaTheme="minorEastAsia"/>
        </w:rPr>
        <w:t xml:space="preserve">A </w:t>
      </w:r>
      <w:r>
        <w:rPr>
          <w:rFonts w:eastAsiaTheme="minorEastAsia"/>
        </w:rPr>
        <w:fldChar w:fldCharType="begin"/>
      </w:r>
      <w:r>
        <w:rPr>
          <w:rFonts w:eastAsiaTheme="minorEastAsia"/>
        </w:rPr>
        <w:instrText xml:space="preserve"> REF _Ref488097016 \h </w:instrText>
      </w:r>
      <w:r w:rsidR="00BB16B2">
        <w:rPr>
          <w:rFonts w:eastAsiaTheme="minorEastAsia"/>
        </w:rPr>
        <w:instrText xml:space="preserve"> \* MERGEFORMAT </w:instrText>
      </w:r>
      <w:r>
        <w:rPr>
          <w:rFonts w:eastAsiaTheme="minorEastAsia"/>
        </w:rPr>
      </w:r>
      <w:r>
        <w:rPr>
          <w:rFonts w:eastAsiaTheme="minorEastAsia"/>
        </w:rPr>
        <w:fldChar w:fldCharType="separate"/>
      </w:r>
      <w:r w:rsidR="00380A8E">
        <w:t xml:space="preserve">Equação </w:t>
      </w:r>
      <w:r w:rsidR="00380A8E">
        <w:rPr>
          <w:noProof/>
        </w:rPr>
        <w:t>9</w:t>
      </w:r>
      <w:r>
        <w:rPr>
          <w:rFonts w:eastAsiaTheme="minorEastAsia"/>
        </w:rPr>
        <w:fldChar w:fldCharType="end"/>
      </w:r>
      <w:r>
        <w:rPr>
          <w:rFonts w:eastAsiaTheme="minorEastAsia"/>
        </w:rPr>
        <w:t xml:space="preserve"> apresenta a tensão de cisalhamento na parede, que</w:t>
      </w:r>
      <w:r w:rsidR="00BD16CD" w:rsidRPr="001C5638">
        <w:rPr>
          <w:rFonts w:eastAsiaTheme="minorEastAsia"/>
        </w:rPr>
        <w:t xml:space="preserve"> é calculada </w:t>
      </w:r>
      <w:r w:rsidR="00BD16CD">
        <w:rPr>
          <w:rFonts w:eastAsiaTheme="minorEastAsia"/>
        </w:rPr>
        <w:t xml:space="preserve">quando </w:t>
      </w:r>
      <m:oMath>
        <m:r>
          <w:rPr>
            <w:rFonts w:ascii="Cambria Math" w:eastAsiaTheme="minorEastAsia" w:hAnsi="Cambria Math"/>
          </w:rPr>
          <m:t>r = R</m:t>
        </m:r>
      </m:oMath>
      <w:r>
        <w:rPr>
          <w:rFonts w:eastAsiaTheme="minorEastAsia"/>
        </w:rPr>
        <w:t xml:space="preserve"> (raio do tubo), sendo </w:t>
      </w:r>
      <w:r w:rsidR="00BD16CD">
        <w:rPr>
          <w:rFonts w:eastAsiaTheme="minorEastAsia"/>
        </w:rPr>
        <w:t xml:space="preserve">denotada por </w:t>
      </w:r>
      <m:oMath>
        <m:sSub>
          <m:sSubPr>
            <m:ctrlPr>
              <w:rPr>
                <w:rFonts w:ascii="Cambria Math" w:eastAsiaTheme="minorEastAsia" w:hAnsi="Cambria Math"/>
                <w:i/>
              </w:rPr>
            </m:ctrlPr>
          </m:sSubPr>
          <m:e>
            <m:r>
              <m:rPr>
                <m:sty m:val="bi"/>
              </m:rPr>
              <w:rPr>
                <w:rFonts w:ascii="Cambria Math" w:eastAsiaTheme="minorEastAsia" w:hAnsi="Cambria Math"/>
              </w:rPr>
              <m:t>τ</m:t>
            </m:r>
          </m:e>
          <m:sub>
            <m:r>
              <m:rPr>
                <m:sty m:val="bi"/>
              </m:rPr>
              <w:rPr>
                <w:rFonts w:ascii="Cambria Math" w:eastAsiaTheme="minorEastAsia" w:hAnsi="Cambria Math"/>
              </w:rPr>
              <m:t>w</m:t>
            </m:r>
          </m:sub>
        </m:sSub>
      </m:oMath>
      <w:r w:rsidR="00BD16CD">
        <w:rPr>
          <w:rFonts w:eastAsiaTheme="minorEastAsia"/>
        </w:rPr>
        <w:t>.</w:t>
      </w:r>
    </w:p>
    <w:tbl>
      <w:tblPr>
        <w:tblStyle w:val="Tabelacomgrade"/>
        <w:tblW w:w="0" w:type="auto"/>
        <w:tblCellMar>
          <w:left w:w="0" w:type="dxa"/>
          <w:right w:w="0" w:type="dxa"/>
        </w:tblCellMar>
        <w:tblLook w:val="04A0" w:firstRow="1" w:lastRow="0" w:firstColumn="1" w:lastColumn="0" w:noHBand="0" w:noVBand="1"/>
      </w:tblPr>
      <w:tblGrid>
        <w:gridCol w:w="8395"/>
        <w:gridCol w:w="676"/>
      </w:tblGrid>
      <w:tr w:rsidR="00171B29" w:rsidTr="00715698">
        <w:tc>
          <w:tcPr>
            <w:tcW w:w="8395" w:type="dxa"/>
            <w:tcBorders>
              <w:top w:val="nil"/>
              <w:left w:val="nil"/>
              <w:bottom w:val="nil"/>
              <w:right w:val="nil"/>
            </w:tcBorders>
            <w:vAlign w:val="center"/>
          </w:tcPr>
          <w:p w:rsidR="00171B29" w:rsidRPr="00171B29" w:rsidRDefault="00D83C6E" w:rsidP="00BB16B2">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w</m:t>
                    </m:r>
                  </m:sub>
                </m:sSub>
                <m:r>
                  <w:rPr>
                    <w:rFonts w:ascii="Cambria Math" w:eastAsiaTheme="minorEastAsia" w:hAnsi="Cambria Math"/>
                  </w:rPr>
                  <m:t>= -</m:t>
                </m:r>
                <m:f>
                  <m:fPr>
                    <m:ctrlPr>
                      <w:rPr>
                        <w:rFonts w:ascii="Cambria Math" w:eastAsiaTheme="minorEastAsia" w:hAnsi="Cambria Math"/>
                        <w:i/>
                      </w:rPr>
                    </m:ctrlPr>
                  </m:fPr>
                  <m:num>
                    <m:r>
                      <w:rPr>
                        <w:rFonts w:ascii="Cambria Math" w:eastAsiaTheme="minorEastAsia" w:hAnsi="Cambria Math"/>
                      </w:rPr>
                      <m:t>R</m:t>
                    </m:r>
                  </m:num>
                  <m:den>
                    <m:r>
                      <w:rPr>
                        <w:rFonts w:ascii="Cambria Math" w:eastAsiaTheme="minorEastAsia" w:hAnsi="Cambria Math"/>
                      </w:rPr>
                      <m:t>2</m:t>
                    </m:r>
                  </m:den>
                </m:f>
                <m:r>
                  <w:rPr>
                    <w:rFonts w:ascii="Cambria Math" w:eastAsiaTheme="minorEastAsia" w:hAnsi="Cambria Math"/>
                  </w:rPr>
                  <m:t xml:space="preserve"> </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hAnsi="Cambria Math"/>
                          </w:rPr>
                          <m:t>∂p</m:t>
                        </m:r>
                      </m:num>
                      <m:den>
                        <m:r>
                          <w:rPr>
                            <w:rFonts w:ascii="Cambria Math" w:hAnsi="Cambria Math"/>
                          </w:rPr>
                          <m:t>∂x</m:t>
                        </m:r>
                      </m:den>
                    </m:f>
                  </m:e>
                </m:d>
              </m:oMath>
            </m:oMathPara>
          </w:p>
        </w:tc>
        <w:tc>
          <w:tcPr>
            <w:tcW w:w="676" w:type="dxa"/>
            <w:tcBorders>
              <w:top w:val="nil"/>
              <w:left w:val="nil"/>
              <w:bottom w:val="nil"/>
              <w:right w:val="nil"/>
            </w:tcBorders>
            <w:vAlign w:val="center"/>
          </w:tcPr>
          <w:p w:rsidR="00171B29" w:rsidRDefault="00171B29" w:rsidP="00BB16B2">
            <w:pPr>
              <w:rPr>
                <w:rFonts w:cs="Arial"/>
                <w:szCs w:val="24"/>
              </w:rPr>
            </w:pPr>
            <w:r>
              <w:rPr>
                <w:rFonts w:cs="Arial"/>
                <w:szCs w:val="24"/>
              </w:rPr>
              <w:t>(9)</w:t>
            </w:r>
          </w:p>
        </w:tc>
      </w:tr>
    </w:tbl>
    <w:p w:rsidR="00171B29" w:rsidRPr="00567F01" w:rsidRDefault="00171B29" w:rsidP="00BB16B2">
      <w:pPr>
        <w:rPr>
          <w:rFonts w:eastAsiaTheme="minorEastAsia"/>
          <w:color w:val="FFFFFF" w:themeColor="background1"/>
        </w:rPr>
      </w:pPr>
      <w:bookmarkStart w:id="33" w:name="_Ref488097016"/>
      <w:r w:rsidRPr="00567F01">
        <w:rPr>
          <w:color w:val="FFFFFF" w:themeColor="background1"/>
        </w:rPr>
        <w:t xml:space="preserve">Equação </w:t>
      </w:r>
      <w:r w:rsidR="001144AF">
        <w:rPr>
          <w:color w:val="FFFFFF" w:themeColor="background1"/>
        </w:rPr>
        <w:fldChar w:fldCharType="begin"/>
      </w:r>
      <w:r w:rsidR="001144AF">
        <w:rPr>
          <w:color w:val="FFFFFF" w:themeColor="background1"/>
        </w:rPr>
        <w:instrText xml:space="preserve"> SEQ Equação \* ARABIC </w:instrText>
      </w:r>
      <w:r w:rsidR="001144AF">
        <w:rPr>
          <w:color w:val="FFFFFF" w:themeColor="background1"/>
        </w:rPr>
        <w:fldChar w:fldCharType="separate"/>
      </w:r>
      <w:r w:rsidR="001144AF">
        <w:rPr>
          <w:noProof/>
          <w:color w:val="FFFFFF" w:themeColor="background1"/>
        </w:rPr>
        <w:t>9</w:t>
      </w:r>
      <w:r w:rsidR="001144AF">
        <w:rPr>
          <w:color w:val="FFFFFF" w:themeColor="background1"/>
        </w:rPr>
        <w:fldChar w:fldCharType="end"/>
      </w:r>
      <w:bookmarkEnd w:id="33"/>
    </w:p>
    <w:p w:rsidR="00BD16CD" w:rsidRDefault="00BD16CD" w:rsidP="00BB16B2">
      <w:pPr>
        <w:rPr>
          <w:rFonts w:eastAsiaTheme="minorEastAsia"/>
        </w:rPr>
      </w:pPr>
      <w:r w:rsidRPr="001C5638">
        <w:rPr>
          <w:rFonts w:eastAsiaTheme="minorEastAsia"/>
        </w:rPr>
        <w:t>Esta tensão de cisalhamento na parede é verdad</w:t>
      </w:r>
      <w:r>
        <w:rPr>
          <w:rFonts w:eastAsiaTheme="minorEastAsia"/>
        </w:rPr>
        <w:t xml:space="preserve">eira independente do escoamento </w:t>
      </w:r>
      <w:r w:rsidRPr="00171B29">
        <w:rPr>
          <w:rFonts w:eastAsiaTheme="minorEastAsia"/>
        </w:rPr>
        <w:t xml:space="preserve">ser laminar ou turbulento e observe que o termo  </w:t>
      </w:r>
      <m:oMath>
        <m:f>
          <m:fPr>
            <m:ctrlPr>
              <w:rPr>
                <w:rFonts w:ascii="Cambria Math" w:eastAsiaTheme="minorEastAsia" w:hAnsi="Cambria Math"/>
                <w:i/>
                <w:sz w:val="28"/>
              </w:rPr>
            </m:ctrlPr>
          </m:fPr>
          <m:num>
            <m:r>
              <w:rPr>
                <w:rFonts w:ascii="Cambria Math" w:hAnsi="Cambria Math"/>
                <w:sz w:val="28"/>
              </w:rPr>
              <m:t>∂p</m:t>
            </m:r>
          </m:num>
          <m:den>
            <m:r>
              <w:rPr>
                <w:rFonts w:ascii="Cambria Math" w:hAnsi="Cambria Math"/>
                <w:sz w:val="28"/>
              </w:rPr>
              <m:t>∂x</m:t>
            </m:r>
          </m:den>
        </m:f>
      </m:oMath>
      <w:r>
        <w:rPr>
          <w:rFonts w:eastAsiaTheme="minorEastAsia"/>
        </w:rPr>
        <w:t xml:space="preserve">  </w:t>
      </w:r>
      <w:r w:rsidRPr="001C5638">
        <w:rPr>
          <w:rFonts w:eastAsiaTheme="minorEastAsia"/>
        </w:rPr>
        <w:t>é ne</w:t>
      </w:r>
      <w:r>
        <w:rPr>
          <w:rFonts w:eastAsiaTheme="minorEastAsia"/>
        </w:rPr>
        <w:t xml:space="preserve">gativo fazendo com que a tensão </w:t>
      </w:r>
      <w:r w:rsidR="00BB16B2">
        <w:rPr>
          <w:rFonts w:eastAsiaTheme="minorEastAsia"/>
        </w:rPr>
        <w:t>de cisalhamento seja positiva. Assim, chega-se à</w:t>
      </w:r>
      <w:r w:rsidRPr="00171B29">
        <w:rPr>
          <w:rFonts w:eastAsiaTheme="minorEastAsia"/>
        </w:rPr>
        <w:t xml:space="preserve"> </w:t>
      </w:r>
      <w:r w:rsidR="00171B29">
        <w:rPr>
          <w:rFonts w:eastAsiaTheme="minorEastAsia"/>
        </w:rPr>
        <w:fldChar w:fldCharType="begin"/>
      </w:r>
      <w:r w:rsidR="00171B29">
        <w:rPr>
          <w:rFonts w:eastAsiaTheme="minorEastAsia"/>
        </w:rPr>
        <w:instrText xml:space="preserve"> REF _Ref488097223 \h </w:instrText>
      </w:r>
      <w:r w:rsidR="00BB16B2">
        <w:rPr>
          <w:rFonts w:eastAsiaTheme="minorEastAsia"/>
        </w:rPr>
        <w:instrText xml:space="preserve"> \* MERGEFORMAT </w:instrText>
      </w:r>
      <w:r w:rsidR="00171B29">
        <w:rPr>
          <w:rFonts w:eastAsiaTheme="minorEastAsia"/>
        </w:rPr>
      </w:r>
      <w:r w:rsidR="00171B29">
        <w:rPr>
          <w:rFonts w:eastAsiaTheme="minorEastAsia"/>
        </w:rPr>
        <w:fldChar w:fldCharType="separate"/>
      </w:r>
      <w:r w:rsidR="00380A8E" w:rsidRPr="00380A8E">
        <w:t xml:space="preserve">Equação </w:t>
      </w:r>
      <w:r w:rsidR="00380A8E" w:rsidRPr="00380A8E">
        <w:rPr>
          <w:noProof/>
        </w:rPr>
        <w:t>10</w:t>
      </w:r>
      <w:r w:rsidR="00171B29">
        <w:rPr>
          <w:rFonts w:eastAsiaTheme="minorEastAsia"/>
        </w:rPr>
        <w:fldChar w:fldCharType="end"/>
      </w:r>
      <w:r w:rsidRPr="00171B29">
        <w:rPr>
          <w:rFonts w:eastAsiaTheme="minorEastAsia"/>
        </w:rPr>
        <w:t xml:space="preserve"> ao </w:t>
      </w:r>
      <w:r w:rsidR="00BB16B2">
        <w:rPr>
          <w:rFonts w:eastAsiaTheme="minorEastAsia"/>
        </w:rPr>
        <w:t xml:space="preserve">se </w:t>
      </w:r>
      <w:r w:rsidRPr="00171B29">
        <w:rPr>
          <w:rFonts w:eastAsiaTheme="minorEastAsia"/>
        </w:rPr>
        <w:t xml:space="preserve">comparar a </w:t>
      </w:r>
      <w:r w:rsidR="00171B29" w:rsidRPr="00171B29">
        <w:rPr>
          <w:rFonts w:eastAsiaTheme="minorEastAsia"/>
        </w:rPr>
        <w:fldChar w:fldCharType="begin"/>
      </w:r>
      <w:r w:rsidR="00171B29" w:rsidRPr="00171B29">
        <w:rPr>
          <w:rFonts w:eastAsiaTheme="minorEastAsia"/>
        </w:rPr>
        <w:instrText xml:space="preserve"> REF _Ref488096837 \h </w:instrText>
      </w:r>
      <w:r w:rsidR="00BB16B2">
        <w:rPr>
          <w:rFonts w:eastAsiaTheme="minorEastAsia"/>
        </w:rPr>
        <w:instrText xml:space="preserve"> \* MERGEFORMAT </w:instrText>
      </w:r>
      <w:r w:rsidR="00171B29" w:rsidRPr="00171B29">
        <w:rPr>
          <w:rFonts w:eastAsiaTheme="minorEastAsia"/>
        </w:rPr>
      </w:r>
      <w:r w:rsidR="00171B29" w:rsidRPr="00171B29">
        <w:rPr>
          <w:rFonts w:eastAsiaTheme="minorEastAsia"/>
        </w:rPr>
        <w:fldChar w:fldCharType="separate"/>
      </w:r>
      <w:r w:rsidR="00380A8E" w:rsidRPr="00380A8E">
        <w:t xml:space="preserve">Equação </w:t>
      </w:r>
      <w:r w:rsidR="00380A8E" w:rsidRPr="00380A8E">
        <w:rPr>
          <w:noProof/>
        </w:rPr>
        <w:t>8</w:t>
      </w:r>
      <w:r w:rsidR="00171B29" w:rsidRPr="00171B29">
        <w:rPr>
          <w:rFonts w:eastAsiaTheme="minorEastAsia"/>
        </w:rPr>
        <w:fldChar w:fldCharType="end"/>
      </w:r>
      <w:r w:rsidR="00171B29">
        <w:rPr>
          <w:rFonts w:eastAsiaTheme="minorEastAsia"/>
        </w:rPr>
        <w:t xml:space="preserve"> e </w:t>
      </w:r>
      <w:r w:rsidR="00171B29" w:rsidRPr="00171B29">
        <w:rPr>
          <w:rFonts w:eastAsiaTheme="minorEastAsia"/>
        </w:rPr>
        <w:fldChar w:fldCharType="begin"/>
      </w:r>
      <w:r w:rsidR="00171B29" w:rsidRPr="00171B29">
        <w:rPr>
          <w:rFonts w:eastAsiaTheme="minorEastAsia"/>
        </w:rPr>
        <w:instrText xml:space="preserve"> REF _Ref488097016 \h </w:instrText>
      </w:r>
      <w:r w:rsidR="00BB16B2">
        <w:rPr>
          <w:rFonts w:eastAsiaTheme="minorEastAsia"/>
        </w:rPr>
        <w:instrText xml:space="preserve"> \* MERGEFORMAT </w:instrText>
      </w:r>
      <w:r w:rsidR="00171B29" w:rsidRPr="00171B29">
        <w:rPr>
          <w:rFonts w:eastAsiaTheme="minorEastAsia"/>
        </w:rPr>
      </w:r>
      <w:r w:rsidR="00171B29" w:rsidRPr="00171B29">
        <w:rPr>
          <w:rFonts w:eastAsiaTheme="minorEastAsia"/>
        </w:rPr>
        <w:fldChar w:fldCharType="separate"/>
      </w:r>
      <w:r w:rsidR="00380A8E">
        <w:rPr>
          <w:noProof/>
        </w:rPr>
        <w:t>Equação</w:t>
      </w:r>
      <w:r w:rsidR="00380A8E">
        <w:t xml:space="preserve"> </w:t>
      </w:r>
      <w:r w:rsidR="00380A8E">
        <w:rPr>
          <w:noProof/>
        </w:rPr>
        <w:t>9</w:t>
      </w:r>
      <w:r w:rsidR="00171B29" w:rsidRPr="00171B29">
        <w:rPr>
          <w:rFonts w:eastAsiaTheme="minorEastAsia"/>
        </w:rPr>
        <w:fldChar w:fldCharType="end"/>
      </w:r>
      <w:r w:rsidRPr="001C5638">
        <w:rPr>
          <w:rFonts w:eastAsiaTheme="minorEastAsia"/>
        </w:rPr>
        <w:t>:</w:t>
      </w:r>
    </w:p>
    <w:tbl>
      <w:tblPr>
        <w:tblStyle w:val="Tabelacomgrade"/>
        <w:tblW w:w="0" w:type="auto"/>
        <w:tblCellMar>
          <w:left w:w="0" w:type="dxa"/>
          <w:right w:w="0" w:type="dxa"/>
        </w:tblCellMar>
        <w:tblLook w:val="04A0" w:firstRow="1" w:lastRow="0" w:firstColumn="1" w:lastColumn="0" w:noHBand="0" w:noVBand="1"/>
      </w:tblPr>
      <w:tblGrid>
        <w:gridCol w:w="8395"/>
        <w:gridCol w:w="676"/>
      </w:tblGrid>
      <w:tr w:rsidR="00171B29" w:rsidTr="00715698">
        <w:tc>
          <w:tcPr>
            <w:tcW w:w="8395" w:type="dxa"/>
            <w:tcBorders>
              <w:top w:val="nil"/>
              <w:left w:val="nil"/>
              <w:bottom w:val="nil"/>
              <w:right w:val="nil"/>
            </w:tcBorders>
            <w:vAlign w:val="center"/>
          </w:tcPr>
          <w:p w:rsidR="00171B29" w:rsidRPr="00171B29" w:rsidRDefault="001015C4" w:rsidP="001015C4">
            <w:pPr>
              <w:rPr>
                <w:rFonts w:eastAsiaTheme="minorEastAsia"/>
              </w:rPr>
            </w:pPr>
            <m:oMathPara>
              <m:oMath>
                <m:r>
                  <w:rPr>
                    <w:rFonts w:ascii="Cambria Math" w:eastAsiaTheme="minorEastAsia" w:hAnsi="Cambria Math"/>
                  </w:rPr>
                  <m:t xml:space="preserve">τ= </m:t>
                </m:r>
                <m:f>
                  <m:fPr>
                    <m:ctrlPr>
                      <w:rPr>
                        <w:rFonts w:ascii="Cambria Math" w:eastAsiaTheme="minorEastAsia" w:hAnsi="Cambria Math"/>
                        <w:i/>
                      </w:rPr>
                    </m:ctrlPr>
                  </m:fPr>
                  <m:num>
                    <m:r>
                      <w:rPr>
                        <w:rFonts w:ascii="Cambria Math" w:eastAsiaTheme="minorEastAsia" w:hAnsi="Cambria Math"/>
                      </w:rPr>
                      <m:t>r</m:t>
                    </m:r>
                  </m:num>
                  <m:den>
                    <m:r>
                      <w:rPr>
                        <w:rFonts w:ascii="Cambria Math" w:eastAsiaTheme="minorEastAsia" w:hAnsi="Cambria Math"/>
                      </w:rPr>
                      <m:t>R</m:t>
                    </m:r>
                  </m:den>
                </m:f>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w</m:t>
                    </m:r>
                  </m:sub>
                </m:sSub>
              </m:oMath>
            </m:oMathPara>
          </w:p>
        </w:tc>
        <w:tc>
          <w:tcPr>
            <w:tcW w:w="676" w:type="dxa"/>
            <w:tcBorders>
              <w:top w:val="nil"/>
              <w:left w:val="nil"/>
              <w:bottom w:val="nil"/>
              <w:right w:val="nil"/>
            </w:tcBorders>
            <w:vAlign w:val="center"/>
          </w:tcPr>
          <w:p w:rsidR="00171B29" w:rsidRDefault="00171B29" w:rsidP="00BB16B2">
            <w:pPr>
              <w:rPr>
                <w:rFonts w:cs="Arial"/>
                <w:szCs w:val="24"/>
              </w:rPr>
            </w:pPr>
            <w:r>
              <w:rPr>
                <w:rFonts w:cs="Arial"/>
                <w:szCs w:val="24"/>
              </w:rPr>
              <w:t>(10)</w:t>
            </w:r>
          </w:p>
        </w:tc>
      </w:tr>
    </w:tbl>
    <w:p w:rsidR="00171B29" w:rsidRPr="00BB16B2" w:rsidRDefault="00171B29" w:rsidP="00BB16B2">
      <w:pPr>
        <w:rPr>
          <w:rFonts w:eastAsiaTheme="minorEastAsia"/>
          <w:color w:val="FFFFFF" w:themeColor="background1"/>
        </w:rPr>
      </w:pPr>
      <w:bookmarkStart w:id="34" w:name="_Ref488097223"/>
      <w:r w:rsidRPr="00BB16B2">
        <w:rPr>
          <w:color w:val="FFFFFF" w:themeColor="background1"/>
        </w:rPr>
        <w:t xml:space="preserve">Equação </w:t>
      </w:r>
      <w:r w:rsidR="001144AF">
        <w:rPr>
          <w:color w:val="FFFFFF" w:themeColor="background1"/>
        </w:rPr>
        <w:fldChar w:fldCharType="begin"/>
      </w:r>
      <w:r w:rsidR="001144AF">
        <w:rPr>
          <w:color w:val="FFFFFF" w:themeColor="background1"/>
        </w:rPr>
        <w:instrText xml:space="preserve"> SEQ Equação \* ARABIC </w:instrText>
      </w:r>
      <w:r w:rsidR="001144AF">
        <w:rPr>
          <w:color w:val="FFFFFF" w:themeColor="background1"/>
        </w:rPr>
        <w:fldChar w:fldCharType="separate"/>
      </w:r>
      <w:r w:rsidR="001144AF">
        <w:rPr>
          <w:noProof/>
          <w:color w:val="FFFFFF" w:themeColor="background1"/>
        </w:rPr>
        <w:t>10</w:t>
      </w:r>
      <w:r w:rsidR="001144AF">
        <w:rPr>
          <w:color w:val="FFFFFF" w:themeColor="background1"/>
        </w:rPr>
        <w:fldChar w:fldCharType="end"/>
      </w:r>
      <w:bookmarkEnd w:id="34"/>
    </w:p>
    <w:p w:rsidR="00BB16B2" w:rsidRPr="00BB16B2" w:rsidRDefault="00BD16CD" w:rsidP="00BB16B2">
      <w:pPr>
        <w:rPr>
          <w:rFonts w:eastAsiaTheme="minorEastAsia"/>
        </w:rPr>
      </w:pPr>
      <w:r w:rsidRPr="00BE111E">
        <w:rPr>
          <w:rFonts w:eastAsiaTheme="minorEastAsia"/>
        </w:rPr>
        <w:t>Deixando claro que a tensão de cisalhamento é nula no centro e máxi</w:t>
      </w:r>
      <w:r w:rsidR="00BB16B2">
        <w:rPr>
          <w:rFonts w:eastAsiaTheme="minorEastAsia"/>
        </w:rPr>
        <w:t xml:space="preserve">ma na parede. </w:t>
      </w:r>
      <w:r w:rsidR="00BB16B2">
        <w:t xml:space="preserve">O </w:t>
      </w:r>
      <w:r w:rsidRPr="00737058">
        <w:t>gradiente de pressão em função</w:t>
      </w:r>
      <w:r>
        <w:t xml:space="preserve"> da vazão e da viscosidade para </w:t>
      </w:r>
      <w:r w:rsidR="00BB16B2">
        <w:t xml:space="preserve">escoamentos laminares pode ser expresso por meio da </w:t>
      </w:r>
      <w:r w:rsidR="00BB16B2">
        <w:fldChar w:fldCharType="begin"/>
      </w:r>
      <w:r w:rsidR="00BB16B2">
        <w:instrText xml:space="preserve"> REF _Ref488097401 \h  \* MERGEFORMAT </w:instrText>
      </w:r>
      <w:r w:rsidR="00BB16B2">
        <w:fldChar w:fldCharType="separate"/>
      </w:r>
      <w:r w:rsidR="00380A8E" w:rsidRPr="00380A8E">
        <w:t xml:space="preserve">Equação </w:t>
      </w:r>
      <w:r w:rsidR="00380A8E" w:rsidRPr="00380A8E">
        <w:rPr>
          <w:noProof/>
        </w:rPr>
        <w:t>11</w:t>
      </w:r>
      <w:r w:rsidR="00BB16B2">
        <w:fldChar w:fldCharType="end"/>
      </w:r>
      <w:r w:rsidR="00BB16B2">
        <w:t xml:space="preserve">, onde Q representa a vazão volumétrica e </w:t>
      </w:r>
      <m:oMath>
        <m:r>
          <w:rPr>
            <w:rFonts w:ascii="Cambria Math" w:eastAsiaTheme="minorEastAsia" w:hAnsi="Cambria Math"/>
          </w:rPr>
          <m:t>µ</m:t>
        </m:r>
      </m:oMath>
      <w:r w:rsidR="00BB16B2" w:rsidRPr="00737058">
        <w:t xml:space="preserve"> é a viscosidade dinâmica</w:t>
      </w:r>
      <w:r w:rsidR="00BB16B2">
        <w:t xml:space="preserve"> do fluido</w:t>
      </w:r>
      <w:r w:rsidR="00BB16B2" w:rsidRPr="00737058">
        <w:t>.</w:t>
      </w:r>
    </w:p>
    <w:tbl>
      <w:tblPr>
        <w:tblStyle w:val="Tabelacomgrade"/>
        <w:tblW w:w="0" w:type="auto"/>
        <w:tblCellMar>
          <w:left w:w="0" w:type="dxa"/>
          <w:right w:w="0" w:type="dxa"/>
        </w:tblCellMar>
        <w:tblLook w:val="04A0" w:firstRow="1" w:lastRow="0" w:firstColumn="1" w:lastColumn="0" w:noHBand="0" w:noVBand="1"/>
      </w:tblPr>
      <w:tblGrid>
        <w:gridCol w:w="8395"/>
        <w:gridCol w:w="676"/>
      </w:tblGrid>
      <w:tr w:rsidR="00BB16B2" w:rsidTr="00715698">
        <w:tc>
          <w:tcPr>
            <w:tcW w:w="8395" w:type="dxa"/>
            <w:tcBorders>
              <w:top w:val="nil"/>
              <w:left w:val="nil"/>
              <w:bottom w:val="nil"/>
              <w:right w:val="nil"/>
            </w:tcBorders>
            <w:vAlign w:val="center"/>
          </w:tcPr>
          <w:p w:rsidR="00BB16B2" w:rsidRPr="00BB16B2" w:rsidRDefault="00D83C6E" w:rsidP="00BB16B2">
            <w:pPr>
              <w:rPr>
                <w:rFonts w:eastAsiaTheme="minorEastAsia"/>
                <w:i/>
              </w:rPr>
            </w:pPr>
            <m:oMathPara>
              <m:oMath>
                <m:f>
                  <m:fPr>
                    <m:ctrlPr>
                      <w:rPr>
                        <w:rFonts w:ascii="Cambria Math" w:eastAsiaTheme="minorEastAsia" w:hAnsi="Cambria Math"/>
                        <w:i/>
                      </w:rPr>
                    </m:ctrlPr>
                  </m:fPr>
                  <m:num>
                    <m:r>
                      <w:rPr>
                        <w:rFonts w:ascii="Cambria Math" w:hAnsi="Cambria Math"/>
                      </w:rPr>
                      <m:t>∂p</m:t>
                    </m:r>
                  </m:num>
                  <m:den>
                    <m:r>
                      <w:rPr>
                        <w:rFonts w:ascii="Cambria Math" w:hAnsi="Cambria Math"/>
                      </w:rPr>
                      <m:t>∂x</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-8Qµ</m:t>
                    </m:r>
                  </m:num>
                  <m:den>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4</m:t>
                        </m:r>
                      </m:sup>
                    </m:sSup>
                  </m:den>
                </m:f>
                <m:r>
                  <w:rPr>
                    <w:rFonts w:ascii="Cambria Math" w:eastAsiaTheme="minorEastAsia" w:hAnsi="Cambria Math"/>
                  </w:rPr>
                  <m:t xml:space="preserve"> </m:t>
                </m:r>
              </m:oMath>
            </m:oMathPara>
          </w:p>
        </w:tc>
        <w:tc>
          <w:tcPr>
            <w:tcW w:w="676" w:type="dxa"/>
            <w:tcBorders>
              <w:top w:val="nil"/>
              <w:left w:val="nil"/>
              <w:bottom w:val="nil"/>
              <w:right w:val="nil"/>
            </w:tcBorders>
            <w:vAlign w:val="center"/>
          </w:tcPr>
          <w:p w:rsidR="00BB16B2" w:rsidRDefault="00BB16B2" w:rsidP="00BB16B2">
            <w:pPr>
              <w:rPr>
                <w:rFonts w:cs="Arial"/>
                <w:szCs w:val="24"/>
              </w:rPr>
            </w:pPr>
            <w:r>
              <w:rPr>
                <w:rFonts w:cs="Arial"/>
                <w:szCs w:val="24"/>
              </w:rPr>
              <w:t>(11)</w:t>
            </w:r>
          </w:p>
        </w:tc>
      </w:tr>
    </w:tbl>
    <w:p w:rsidR="00BD16CD" w:rsidRPr="00BB16B2" w:rsidRDefault="00BB16B2" w:rsidP="00BB16B2">
      <w:pPr>
        <w:rPr>
          <w:color w:val="FFFFFF" w:themeColor="background1"/>
        </w:rPr>
      </w:pPr>
      <w:bookmarkStart w:id="35" w:name="_Ref488097401"/>
      <w:r w:rsidRPr="00BB16B2">
        <w:rPr>
          <w:color w:val="FFFFFF" w:themeColor="background1"/>
        </w:rPr>
        <w:t xml:space="preserve">Equação </w:t>
      </w:r>
      <w:r w:rsidR="001144AF">
        <w:rPr>
          <w:color w:val="FFFFFF" w:themeColor="background1"/>
        </w:rPr>
        <w:fldChar w:fldCharType="begin"/>
      </w:r>
      <w:r w:rsidR="001144AF">
        <w:rPr>
          <w:color w:val="FFFFFF" w:themeColor="background1"/>
        </w:rPr>
        <w:instrText xml:space="preserve"> SEQ Equação \* ARABIC </w:instrText>
      </w:r>
      <w:r w:rsidR="001144AF">
        <w:rPr>
          <w:color w:val="FFFFFF" w:themeColor="background1"/>
        </w:rPr>
        <w:fldChar w:fldCharType="separate"/>
      </w:r>
      <w:r w:rsidR="001144AF">
        <w:rPr>
          <w:noProof/>
          <w:color w:val="FFFFFF" w:themeColor="background1"/>
        </w:rPr>
        <w:t>11</w:t>
      </w:r>
      <w:r w:rsidR="001144AF">
        <w:rPr>
          <w:color w:val="FFFFFF" w:themeColor="background1"/>
        </w:rPr>
        <w:fldChar w:fldCharType="end"/>
      </w:r>
      <w:bookmarkEnd w:id="35"/>
    </w:p>
    <w:p w:rsidR="00BD16CD" w:rsidRDefault="00BD16CD" w:rsidP="00BB16B2">
      <w:pPr>
        <w:rPr>
          <w:rFonts w:eastAsiaTheme="minorEastAsia"/>
        </w:rPr>
      </w:pPr>
      <w:r w:rsidRPr="00F102A2">
        <w:t>Mas para a grande maioria dos casos o e</w:t>
      </w:r>
      <w:r>
        <w:t xml:space="preserve">scoamento se encontra no regime </w:t>
      </w:r>
      <w:r w:rsidRPr="00F102A2">
        <w:t>turbulento e o escoamento não ocorre somente numa direção</w:t>
      </w:r>
      <w:r>
        <w:t xml:space="preserve">. O escoamento turbulento é representado em cada ponto pela velocidade média temporal </w:t>
      </w:r>
      <m:oMath>
        <m:acc>
          <m:accPr>
            <m:chr m:val="̅"/>
            <m:ctrlPr>
              <w:rPr>
                <w:rFonts w:ascii="Cambria Math" w:eastAsiaTheme="minorEastAsia" w:hAnsi="Cambria Math"/>
                <w:i/>
              </w:rPr>
            </m:ctrlPr>
          </m:accPr>
          <m:e>
            <m:r>
              <m:rPr>
                <m:sty m:val="bi"/>
              </m:rPr>
              <w:rPr>
                <w:rFonts w:ascii="Cambria Math" w:eastAsiaTheme="minorEastAsia" w:hAnsi="Cambria Math"/>
              </w:rPr>
              <m:t>u</m:t>
            </m:r>
          </m:e>
        </m:acc>
      </m:oMath>
      <w:r>
        <w:rPr>
          <w:rFonts w:eastAsiaTheme="minorEastAsia"/>
        </w:rPr>
        <w:t xml:space="preserve"> mais as componentes </w:t>
      </w:r>
      <m:oMath>
        <m:r>
          <m:rPr>
            <m:sty m:val="bi"/>
          </m:rPr>
          <w:rPr>
            <w:rFonts w:ascii="Cambria Math" w:eastAsiaTheme="minorEastAsia" w:hAnsi="Cambria Math"/>
          </w:rPr>
          <m:t>u</m:t>
        </m:r>
      </m:oMath>
      <w:r>
        <w:rPr>
          <w:rFonts w:eastAsiaTheme="minorEastAsia"/>
        </w:rPr>
        <w:t xml:space="preserve">’ e </w:t>
      </w:r>
      <m:oMath>
        <m:r>
          <m:rPr>
            <m:sty m:val="bi"/>
          </m:rPr>
          <w:rPr>
            <w:rFonts w:ascii="Cambria Math" w:eastAsiaTheme="minorEastAsia" w:hAnsi="Cambria Math"/>
          </w:rPr>
          <m:t>v</m:t>
        </m:r>
      </m:oMath>
      <w:r>
        <w:rPr>
          <w:rFonts w:eastAsiaTheme="minorEastAsia"/>
        </w:rPr>
        <w:t xml:space="preserve">’ nas direções </w:t>
      </w:r>
      <m:oMath>
        <m:r>
          <m:rPr>
            <m:sty m:val="bi"/>
          </m:rPr>
          <w:rPr>
            <w:rFonts w:ascii="Cambria Math" w:eastAsiaTheme="minorEastAsia" w:hAnsi="Cambria Math"/>
          </w:rPr>
          <m:t>x</m:t>
        </m:r>
      </m:oMath>
      <w:r>
        <w:rPr>
          <w:rFonts w:eastAsiaTheme="minorEastAsia"/>
        </w:rPr>
        <w:t xml:space="preserve"> e </w:t>
      </w:r>
      <m:oMath>
        <m:r>
          <m:rPr>
            <m:sty m:val="bi"/>
          </m:rPr>
          <w:rPr>
            <w:rFonts w:ascii="Cambria Math" w:eastAsiaTheme="minorEastAsia" w:hAnsi="Cambria Math"/>
          </w:rPr>
          <m:t>y</m:t>
        </m:r>
      </m:oMath>
      <w:r>
        <w:rPr>
          <w:rFonts w:eastAsiaTheme="minorEastAsia"/>
        </w:rPr>
        <w:t xml:space="preserve"> (para um escoamento bidimensional) da flutuação aleatória de velocidade. Estas componentes continuamente transferem quantidade de movimento entre as camadas de fluido adjacentes, tendendo a reduzir qualquer gradiente de velocidade presente. Este efeito, que é o mesmo de uma tensão aparente, foi introduzido pela primeira vez por Reynolds, e denominado de </w:t>
      </w:r>
      <w:r w:rsidRPr="00F21E6B">
        <w:rPr>
          <w:rFonts w:eastAsiaTheme="minorEastAsia"/>
          <w:i/>
        </w:rPr>
        <w:t>tensões de Reynolds</w:t>
      </w:r>
      <w:r>
        <w:rPr>
          <w:rFonts w:eastAsiaTheme="minorEastAsia"/>
        </w:rPr>
        <w:t xml:space="preserve">. Esta tensão é dada por </w:t>
      </w:r>
      <m:oMath>
        <m:r>
          <w:rPr>
            <w:rFonts w:ascii="Cambria Math" w:eastAsiaTheme="minorEastAsia" w:hAnsi="Cambria Math"/>
          </w:rPr>
          <m:t>-</m:t>
        </m:r>
        <m:r>
          <m:rPr>
            <m:sty m:val="bi"/>
          </m:rPr>
          <w:rPr>
            <w:rFonts w:ascii="Cambria Math" w:eastAsiaTheme="minorEastAsia" w:hAnsi="Cambria Math"/>
          </w:rPr>
          <m:t>ρ</m:t>
        </m:r>
        <m:acc>
          <m:accPr>
            <m:chr m:val="̅"/>
            <m:ctrlPr>
              <w:rPr>
                <w:rFonts w:ascii="Cambria Math" w:eastAsiaTheme="minorEastAsia" w:hAnsi="Cambria Math"/>
                <w:i/>
              </w:rPr>
            </m:ctrlPr>
          </m:accPr>
          <m:e>
            <m:r>
              <m:rPr>
                <m:sty m:val="bi"/>
              </m:rPr>
              <w:rPr>
                <w:rFonts w:ascii="Cambria Math" w:eastAsiaTheme="minorEastAsia" w:hAnsi="Cambria Math"/>
              </w:rPr>
              <m:t>u</m:t>
            </m:r>
            <m:r>
              <w:rPr>
                <w:rFonts w:ascii="Cambria Math" w:eastAsiaTheme="minorEastAsia" w:hAnsi="Cambria Math"/>
              </w:rPr>
              <m:t>'</m:t>
            </m:r>
            <m:r>
              <m:rPr>
                <m:sty m:val="bi"/>
              </m:rPr>
              <w:rPr>
                <w:rFonts w:ascii="Cambria Math" w:eastAsiaTheme="minorEastAsia" w:hAnsi="Cambria Math"/>
              </w:rPr>
              <m:t>v</m:t>
            </m:r>
            <m:r>
              <w:rPr>
                <w:rFonts w:ascii="Cambria Math" w:eastAsiaTheme="minorEastAsia" w:hAnsi="Cambria Math"/>
              </w:rPr>
              <m:t>'</m:t>
            </m:r>
          </m:e>
        </m:acc>
      </m:oMath>
      <w:r>
        <w:rPr>
          <w:rFonts w:eastAsiaTheme="minorEastAsia"/>
        </w:rPr>
        <w:t>, em que a barra superior significa uma média temporal. Dessa forma encontramos</w:t>
      </w:r>
      <w:r w:rsidR="00BB16B2">
        <w:rPr>
          <w:rFonts w:eastAsiaTheme="minorEastAsia"/>
        </w:rPr>
        <w:t xml:space="preserve"> a </w:t>
      </w:r>
      <w:r w:rsidR="00BB16B2">
        <w:rPr>
          <w:rFonts w:eastAsiaTheme="minorEastAsia"/>
        </w:rPr>
        <w:fldChar w:fldCharType="begin"/>
      </w:r>
      <w:r w:rsidR="00BB16B2">
        <w:rPr>
          <w:rFonts w:eastAsiaTheme="minorEastAsia"/>
        </w:rPr>
        <w:instrText xml:space="preserve"> REF _Ref488097539 \h  \* MERGEFORMAT </w:instrText>
      </w:r>
      <w:r w:rsidR="00BB16B2">
        <w:rPr>
          <w:rFonts w:eastAsiaTheme="minorEastAsia"/>
        </w:rPr>
      </w:r>
      <w:r w:rsidR="00BB16B2">
        <w:rPr>
          <w:rFonts w:eastAsiaTheme="minorEastAsia"/>
        </w:rPr>
        <w:fldChar w:fldCharType="separate"/>
      </w:r>
      <w:r w:rsidR="00380A8E" w:rsidRPr="00380A8E">
        <w:t xml:space="preserve">Equação </w:t>
      </w:r>
      <w:r w:rsidR="00380A8E" w:rsidRPr="00380A8E">
        <w:rPr>
          <w:noProof/>
        </w:rPr>
        <w:t>12</w:t>
      </w:r>
      <w:r w:rsidR="00BB16B2">
        <w:rPr>
          <w:rFonts w:eastAsiaTheme="minorEastAsia"/>
        </w:rPr>
        <w:fldChar w:fldCharType="end"/>
      </w:r>
      <w:r w:rsidR="00BB16B2">
        <w:rPr>
          <w:rFonts w:eastAsiaTheme="minorEastAsia"/>
        </w:rPr>
        <w:t>.</w:t>
      </w:r>
    </w:p>
    <w:tbl>
      <w:tblPr>
        <w:tblStyle w:val="Tabelacomgrade"/>
        <w:tblW w:w="0" w:type="auto"/>
        <w:tblCellMar>
          <w:left w:w="0" w:type="dxa"/>
          <w:right w:w="0" w:type="dxa"/>
        </w:tblCellMar>
        <w:tblLook w:val="04A0" w:firstRow="1" w:lastRow="0" w:firstColumn="1" w:lastColumn="0" w:noHBand="0" w:noVBand="1"/>
      </w:tblPr>
      <w:tblGrid>
        <w:gridCol w:w="8395"/>
        <w:gridCol w:w="676"/>
      </w:tblGrid>
      <w:tr w:rsidR="00BB16B2" w:rsidTr="00715698">
        <w:tc>
          <w:tcPr>
            <w:tcW w:w="8395" w:type="dxa"/>
            <w:tcBorders>
              <w:top w:val="nil"/>
              <w:left w:val="nil"/>
              <w:bottom w:val="nil"/>
              <w:right w:val="nil"/>
            </w:tcBorders>
            <w:vAlign w:val="center"/>
          </w:tcPr>
          <w:p w:rsidR="00BB16B2" w:rsidRPr="00BB16B2" w:rsidRDefault="00BB16B2" w:rsidP="00BB16B2">
            <w:pPr>
              <w:rPr>
                <w:rFonts w:eastAsiaTheme="minorEastAsia"/>
              </w:rPr>
            </w:pPr>
            <m:oMathPara>
              <m:oMath>
                <m:r>
                  <w:rPr>
                    <w:rFonts w:ascii="Cambria Math" w:eastAsiaTheme="minorEastAsia" w:hAnsi="Cambria Math"/>
                  </w:rPr>
                  <m:t>τ=</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lam</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turb</m:t>
                    </m:r>
                  </m:sub>
                </m:sSub>
                <m:r>
                  <w:rPr>
                    <w:rFonts w:ascii="Cambria Math" w:eastAsiaTheme="minorEastAsia" w:hAnsi="Cambria Math"/>
                  </w:rPr>
                  <m:t>= μ</m:t>
                </m:r>
                <m:f>
                  <m:fPr>
                    <m:ctrlPr>
                      <w:rPr>
                        <w:rFonts w:ascii="Cambria Math" w:eastAsiaTheme="minorEastAsia" w:hAnsi="Cambria Math"/>
                        <w:i/>
                      </w:rPr>
                    </m:ctrlPr>
                  </m:fPr>
                  <m:num>
                    <m:r>
                      <w:rPr>
                        <w:rFonts w:ascii="Cambria Math" w:hAnsi="Cambria Math"/>
                      </w:rPr>
                      <m:t>d</m:t>
                    </m:r>
                    <m:acc>
                      <m:accPr>
                        <m:chr m:val="̅"/>
                        <m:ctrlPr>
                          <w:rPr>
                            <w:rFonts w:ascii="Cambria Math" w:hAnsi="Cambria Math"/>
                            <w:bCs/>
                            <w:i/>
                          </w:rPr>
                        </m:ctrlPr>
                      </m:accPr>
                      <m:e>
                        <m:r>
                          <w:rPr>
                            <w:rFonts w:ascii="Cambria Math" w:hAnsi="Cambria Math"/>
                          </w:rPr>
                          <m:t>u</m:t>
                        </m:r>
                      </m:e>
                    </m:acc>
                  </m:num>
                  <m:den>
                    <m:r>
                      <w:rPr>
                        <w:rFonts w:ascii="Cambria Math" w:hAnsi="Cambria Math"/>
                      </w:rPr>
                      <m:t>dy</m:t>
                    </m:r>
                  </m:den>
                </m:f>
                <m:r>
                  <w:rPr>
                    <w:rFonts w:ascii="Cambria Math" w:eastAsiaTheme="minorEastAsia" w:hAnsi="Cambria Math"/>
                  </w:rPr>
                  <m:t xml:space="preserve"> -ρ</m:t>
                </m:r>
                <m:acc>
                  <m:accPr>
                    <m:chr m:val="̅"/>
                    <m:ctrlPr>
                      <w:rPr>
                        <w:rFonts w:ascii="Cambria Math" w:eastAsiaTheme="minorEastAsia" w:hAnsi="Cambria Math"/>
                        <w:i/>
                      </w:rPr>
                    </m:ctrlPr>
                  </m:accPr>
                  <m:e>
                    <m:r>
                      <w:rPr>
                        <w:rFonts w:ascii="Cambria Math" w:eastAsiaTheme="minorEastAsia" w:hAnsi="Cambria Math"/>
                      </w:rPr>
                      <m:t>u'v'</m:t>
                    </m:r>
                  </m:e>
                </m:acc>
              </m:oMath>
            </m:oMathPara>
          </w:p>
        </w:tc>
        <w:tc>
          <w:tcPr>
            <w:tcW w:w="676" w:type="dxa"/>
            <w:tcBorders>
              <w:top w:val="nil"/>
              <w:left w:val="nil"/>
              <w:bottom w:val="nil"/>
              <w:right w:val="nil"/>
            </w:tcBorders>
            <w:vAlign w:val="center"/>
          </w:tcPr>
          <w:p w:rsidR="00BB16B2" w:rsidRDefault="00BB16B2" w:rsidP="00BB16B2">
            <w:pPr>
              <w:rPr>
                <w:rFonts w:cs="Arial"/>
                <w:szCs w:val="24"/>
              </w:rPr>
            </w:pPr>
            <w:r>
              <w:rPr>
                <w:rFonts w:cs="Arial"/>
                <w:szCs w:val="24"/>
              </w:rPr>
              <w:t>(12)</w:t>
            </w:r>
          </w:p>
        </w:tc>
      </w:tr>
    </w:tbl>
    <w:p w:rsidR="00BB16B2" w:rsidRPr="00BB16B2" w:rsidRDefault="00BB16B2" w:rsidP="00BB16B2">
      <w:pPr>
        <w:rPr>
          <w:rFonts w:eastAsiaTheme="minorEastAsia"/>
          <w:color w:val="FFFFFF" w:themeColor="background1"/>
        </w:rPr>
      </w:pPr>
      <w:bookmarkStart w:id="36" w:name="_Ref488097539"/>
      <w:r w:rsidRPr="00BB16B2">
        <w:rPr>
          <w:color w:val="FFFFFF" w:themeColor="background1"/>
        </w:rPr>
        <w:lastRenderedPageBreak/>
        <w:t xml:space="preserve">Equação </w:t>
      </w:r>
      <w:r w:rsidR="001144AF">
        <w:rPr>
          <w:color w:val="FFFFFF" w:themeColor="background1"/>
        </w:rPr>
        <w:fldChar w:fldCharType="begin"/>
      </w:r>
      <w:r w:rsidR="001144AF">
        <w:rPr>
          <w:color w:val="FFFFFF" w:themeColor="background1"/>
        </w:rPr>
        <w:instrText xml:space="preserve"> SEQ Equação \* ARABIC </w:instrText>
      </w:r>
      <w:r w:rsidR="001144AF">
        <w:rPr>
          <w:color w:val="FFFFFF" w:themeColor="background1"/>
        </w:rPr>
        <w:fldChar w:fldCharType="separate"/>
      </w:r>
      <w:r w:rsidR="001144AF">
        <w:rPr>
          <w:noProof/>
          <w:color w:val="FFFFFF" w:themeColor="background1"/>
        </w:rPr>
        <w:t>12</w:t>
      </w:r>
      <w:r w:rsidR="001144AF">
        <w:rPr>
          <w:color w:val="FFFFFF" w:themeColor="background1"/>
        </w:rPr>
        <w:fldChar w:fldCharType="end"/>
      </w:r>
      <w:bookmarkEnd w:id="36"/>
    </w:p>
    <w:p w:rsidR="00246E08" w:rsidRPr="00815BA0" w:rsidRDefault="00BD16CD" w:rsidP="00BB16B2">
      <w:pPr>
        <w:rPr>
          <w:rFonts w:eastAsiaTheme="minorEastAsia" w:cs="Arial"/>
          <w:szCs w:val="24"/>
        </w:rPr>
      </w:pPr>
      <w:r w:rsidRPr="00815BA0">
        <w:rPr>
          <w:rFonts w:cs="Arial"/>
          <w:szCs w:val="24"/>
        </w:rPr>
        <w:t xml:space="preserve">A tensão turbulenta, </w:t>
      </w:r>
      <m:oMath>
        <m:sSub>
          <m:sSubPr>
            <m:ctrlPr>
              <w:rPr>
                <w:rFonts w:ascii="Cambria Math" w:eastAsiaTheme="minorEastAsia" w:hAnsi="Cambria Math" w:cs="Arial"/>
                <w:i/>
                <w:szCs w:val="24"/>
              </w:rPr>
            </m:ctrlPr>
          </m:sSubPr>
          <m:e>
            <m:r>
              <w:rPr>
                <w:rFonts w:ascii="Cambria Math" w:eastAsiaTheme="minorEastAsia" w:hAnsi="Cambria Math"/>
              </w:rPr>
              <m:t>τ</m:t>
            </m:r>
          </m:e>
          <m:sub>
            <m:r>
              <w:rPr>
                <w:rFonts w:ascii="Cambria Math" w:eastAsiaTheme="minorEastAsia" w:hAnsi="Cambria Math"/>
              </w:rPr>
              <m:t>turb</m:t>
            </m:r>
          </m:sub>
        </m:sSub>
        <m:r>
          <w:rPr>
            <w:rFonts w:ascii="Cambria Math" w:eastAsiaTheme="minorEastAsia" w:hAnsi="Cambria Math"/>
          </w:rPr>
          <m:t>=-ρ</m:t>
        </m:r>
        <m:acc>
          <m:accPr>
            <m:chr m:val="̅"/>
            <m:ctrlPr>
              <w:rPr>
                <w:rFonts w:ascii="Cambria Math" w:eastAsiaTheme="minorEastAsia" w:hAnsi="Cambria Math" w:cs="Arial"/>
                <w:i/>
                <w:szCs w:val="24"/>
              </w:rPr>
            </m:ctrlPr>
          </m:accPr>
          <m:e>
            <m:sSup>
              <m:sSupPr>
                <m:ctrlPr>
                  <w:rPr>
                    <w:rFonts w:ascii="Cambria Math" w:eastAsiaTheme="minorEastAsia" w:hAnsi="Cambria Math" w:cs="Arial"/>
                    <w:i/>
                    <w:szCs w:val="24"/>
                  </w:rPr>
                </m:ctrlPr>
              </m:sSupPr>
              <m:e>
                <m:r>
                  <w:rPr>
                    <w:rFonts w:ascii="Cambria Math" w:eastAsiaTheme="minorEastAsia" w:hAnsi="Cambria Math"/>
                  </w:rPr>
                  <m:t>u</m:t>
                </m:r>
              </m:e>
              <m:sup>
                <m:r>
                  <w:rPr>
                    <w:rFonts w:ascii="Cambria Math" w:eastAsiaTheme="minorEastAsia" w:hAnsi="Cambria Math"/>
                  </w:rPr>
                  <m:t>'</m:t>
                </m:r>
              </m:sup>
            </m:sSup>
            <m:sSup>
              <m:sSupPr>
                <m:ctrlPr>
                  <w:rPr>
                    <w:rFonts w:ascii="Cambria Math" w:eastAsiaTheme="minorEastAsia" w:hAnsi="Cambria Math" w:cs="Arial"/>
                    <w:i/>
                    <w:szCs w:val="24"/>
                  </w:rPr>
                </m:ctrlPr>
              </m:sSupPr>
              <m:e>
                <m:r>
                  <w:rPr>
                    <w:rFonts w:ascii="Cambria Math" w:eastAsiaTheme="minorEastAsia" w:hAnsi="Cambria Math"/>
                  </w:rPr>
                  <m:t>v</m:t>
                </m:r>
              </m:e>
              <m:sup>
                <m:r>
                  <w:rPr>
                    <w:rFonts w:ascii="Cambria Math" w:eastAsiaTheme="minorEastAsia" w:hAnsi="Cambria Math"/>
                  </w:rPr>
                  <m:t>'</m:t>
                </m:r>
              </m:sup>
            </m:sSup>
          </m:e>
        </m:acc>
        <m:r>
          <w:rPr>
            <w:rFonts w:ascii="Cambria Math" w:eastAsiaTheme="minorEastAsia" w:hAnsi="Cambria Math"/>
          </w:rPr>
          <m:t>→0</m:t>
        </m:r>
      </m:oMath>
      <w:r w:rsidRPr="00815BA0">
        <w:rPr>
          <w:rFonts w:eastAsiaTheme="minorEastAsia" w:cs="Arial"/>
          <w:szCs w:val="24"/>
        </w:rPr>
        <w:t>, conforme nos aproximamos da parede. Logo, na região muito próxima à parede do tubo, a camada de parede, o cisalhamento viscoso é dominante, e na região entre a camada de parede e a porção central do tubo, tanto o cisalhamento viscoso quanto o turbulento são importantes.</w:t>
      </w:r>
    </w:p>
    <w:p w:rsidR="00246E08" w:rsidRPr="00246E08" w:rsidRDefault="00246E08" w:rsidP="004C1D84">
      <w:pPr>
        <w:rPr>
          <w:rFonts w:eastAsiaTheme="minorEastAsia" w:cs="Arial"/>
          <w:szCs w:val="24"/>
        </w:rPr>
      </w:pPr>
    </w:p>
    <w:p w:rsidR="00BD16CD" w:rsidRPr="00AE0977" w:rsidRDefault="00BD16CD" w:rsidP="00BB16B2">
      <w:pPr>
        <w:pStyle w:val="Nvel2-PG"/>
      </w:pPr>
      <w:bookmarkStart w:id="37" w:name="_Toc488678332"/>
      <w:r w:rsidRPr="00AE0977">
        <w:t>2.3 Desenvolvimento da camada limite hidrodinâmica</w:t>
      </w:r>
      <w:bookmarkEnd w:id="37"/>
    </w:p>
    <w:p w:rsidR="00F56EE6" w:rsidRPr="00EA545F" w:rsidRDefault="00BD16CD" w:rsidP="00BB16B2">
      <w:r w:rsidRPr="00EA545F">
        <w:t>É necessária uma distância mínima para que ocorra o desenvolvimento completo da camada limite de velocidade em um escoamento. A formação desse perfil de velocidade se deve ao atrito que o fluido sofre na parede do tubo, que devido a força viscosa isto gera ao longo do escoamento um perfil de velocidade onde ela decresce na medida em que se afasta do centro do tubo pela sessão transversal. Se o escoamento for turbulento, a mistura intensa entre camadas de fluido causa o crescimento da camada-limite mais rápido do que em escoamentos laminares.</w:t>
      </w:r>
      <w:r w:rsidR="00815BA0">
        <w:t xml:space="preserve"> [24]</w:t>
      </w:r>
      <w:r w:rsidR="00654F02">
        <w:t xml:space="preserve"> </w:t>
      </w:r>
      <w:r w:rsidRPr="00EA545F">
        <w:t xml:space="preserve">Enquanto que, para o escoamento laminar de um fluido newtoniano, o comprimento para completa formação desse perfil de velocidade pode chegar a 140 diâmetros de comprimento, experiências mostram que para escoamentos turbulentos, o perfil de velocidades médias torna-se plenamente desenvolvido para distâncias entre 25 e 40 diâmetros. </w:t>
      </w:r>
      <w:r w:rsidR="00F56EE6" w:rsidRPr="00EA545F">
        <w:t>Contudo, os detalhes do movimento turbulento podem não estar completamente desenvolvidos para distâncias de 80 ou mais diâmetros de tubo.</w:t>
      </w:r>
      <w:r w:rsidR="00EA545F">
        <w:t xml:space="preserve"> </w:t>
      </w:r>
      <w:r w:rsidR="00EA545F" w:rsidRPr="00EA545F">
        <w:t>[22]</w:t>
      </w:r>
    </w:p>
    <w:p w:rsidR="00BD16CD" w:rsidRDefault="00BD16CD" w:rsidP="00BB16B2">
      <w:r w:rsidRPr="00AE0977">
        <w:t xml:space="preserve">Mas para fluidos não newtonianos como as soluções com concentrações de polímeros é preciso muitas vezes uma distância maior do que a típica para o </w:t>
      </w:r>
      <w:r>
        <w:t>desenvolvimento das camadas limites</w:t>
      </w:r>
      <w:r w:rsidRPr="00AE0977">
        <w:t xml:space="preserve"> h</w:t>
      </w:r>
      <w:r>
        <w:t>idrodinâmica e térmica</w:t>
      </w:r>
      <w:r w:rsidRPr="00AE0977">
        <w:t>. Matt</w:t>
      </w:r>
      <w:r w:rsidR="003B1D12">
        <w:t>h</w:t>
      </w:r>
      <w:r w:rsidRPr="00AE0977">
        <w:t xml:space="preserve">ys </w:t>
      </w:r>
      <w:r w:rsidRPr="00815BA0">
        <w:t>[</w:t>
      </w:r>
      <w:r w:rsidR="00815BA0" w:rsidRPr="00815BA0">
        <w:t>25</w:t>
      </w:r>
      <w:r w:rsidRPr="00815BA0">
        <w:t xml:space="preserve">] </w:t>
      </w:r>
      <w:r w:rsidRPr="00AE0977">
        <w:t>mostrou que para uma solução de 200 ppm de AP-273 (polímero de alto peso molecular) foram necessários 600 diâmetros para a formação da camada limite térmica com um Re de 90.000 num tubo de 7,86 mm sujeito a uma troca de calor consta</w:t>
      </w:r>
      <w:r>
        <w:t>nte. Mesmo que</w:t>
      </w:r>
      <w:r w:rsidRPr="00AE0977">
        <w:t xml:space="preserve"> </w:t>
      </w:r>
      <w:r>
        <w:t>Matt</w:t>
      </w:r>
      <w:r w:rsidR="003B1D12">
        <w:t>h</w:t>
      </w:r>
      <w:r>
        <w:t>ys não tenha apresentado</w:t>
      </w:r>
      <w:r w:rsidRPr="00AE0977">
        <w:t xml:space="preserve"> resultados</w:t>
      </w:r>
      <w:r>
        <w:t xml:space="preserve"> gráficos</w:t>
      </w:r>
      <w:r w:rsidRPr="00AE0977">
        <w:t xml:space="preserve"> para a formação da camada limite hid</w:t>
      </w:r>
      <w:r>
        <w:t xml:space="preserve">rodinâmica, </w:t>
      </w:r>
      <w:r w:rsidRPr="00AE0977">
        <w:t xml:space="preserve">foi observado </w:t>
      </w:r>
      <w:r>
        <w:t xml:space="preserve">por ele </w:t>
      </w:r>
      <w:r w:rsidRPr="00AE0977">
        <w:t xml:space="preserve">que é necessário um valor maior do que 100 diâmetros para a completa </w:t>
      </w:r>
      <w:r>
        <w:t>formação desta camada.</w:t>
      </w:r>
      <w:r w:rsidRPr="00AE0977">
        <w:t xml:space="preserve"> </w:t>
      </w:r>
    </w:p>
    <w:p w:rsidR="00BD16CD" w:rsidRDefault="00BD16CD" w:rsidP="00BB16B2">
      <w:pPr>
        <w:rPr>
          <w:color w:val="000000" w:themeColor="text1"/>
        </w:rPr>
      </w:pPr>
      <w:r>
        <w:t xml:space="preserve">Em </w:t>
      </w:r>
      <w:r w:rsidRPr="00455B3F">
        <w:rPr>
          <w:color w:val="000000" w:themeColor="text1"/>
        </w:rPr>
        <w:t xml:space="preserve">nossos experimentos, a primeira tomada de pressão se localiza a </w:t>
      </w:r>
      <w:r w:rsidRPr="00737058">
        <w:rPr>
          <w:color w:val="000000" w:themeColor="text1"/>
        </w:rPr>
        <w:t xml:space="preserve">167 diâmetros (3,5 m de entrada) </w:t>
      </w:r>
      <w:r w:rsidRPr="00455B3F">
        <w:rPr>
          <w:color w:val="000000" w:themeColor="text1"/>
        </w:rPr>
        <w:t>após o início do trecho reto. De acordo com o experimento feito por Matt</w:t>
      </w:r>
      <w:r w:rsidR="003B1D12">
        <w:rPr>
          <w:color w:val="000000" w:themeColor="text1"/>
        </w:rPr>
        <w:t>h</w:t>
      </w:r>
      <w:r w:rsidR="00815BA0">
        <w:rPr>
          <w:color w:val="000000" w:themeColor="text1"/>
        </w:rPr>
        <w:t>ys, esta distância é</w:t>
      </w:r>
      <w:r w:rsidRPr="00455B3F">
        <w:rPr>
          <w:color w:val="000000" w:themeColor="text1"/>
        </w:rPr>
        <w:t xml:space="preserve"> suficiente para se observar os efeitos de redução de arraste e a completa formação da camada limite de velocidade.</w:t>
      </w:r>
    </w:p>
    <w:p w:rsidR="00BD16CD" w:rsidRPr="00455B3F" w:rsidRDefault="00BD16CD" w:rsidP="00BB16B2">
      <w:pPr>
        <w:rPr>
          <w:color w:val="000000" w:themeColor="text1"/>
        </w:rPr>
      </w:pPr>
    </w:p>
    <w:p w:rsidR="00BD16CD" w:rsidRDefault="00BD16CD" w:rsidP="0022508E">
      <w:pPr>
        <w:pStyle w:val="Nvel2-PG"/>
      </w:pPr>
      <w:bookmarkStart w:id="38" w:name="_Toc488678333"/>
      <w:r>
        <w:t>2.4</w:t>
      </w:r>
      <w:r w:rsidRPr="00503EAD">
        <w:t xml:space="preserve"> Perda de Carga</w:t>
      </w:r>
      <w:bookmarkEnd w:id="38"/>
    </w:p>
    <w:p w:rsidR="00BD16CD" w:rsidRPr="00A52E10" w:rsidRDefault="00BD16CD" w:rsidP="0022508E">
      <w:r w:rsidRPr="00A52E10">
        <w:t xml:space="preserve">Em um escoamento incompressível em uma tubulação as variações de pressão podem ocorrer por desníveis de elevação, </w:t>
      </w:r>
      <w:r w:rsidR="003B1D12">
        <w:t>mudanças na velocidade (devido à</w:t>
      </w:r>
      <w:r w:rsidRPr="00A52E10">
        <w:t>s mudanças de área) e finalmente pelo atrito do fluido nas paredes ou em outros obstáculos. A esta perda de pressão, que chamamos de perda de carga, ela pode ser muito significativa dependendo da aplicação. Isto ocorre devido ao fato de que ela deve ser compensada na forma de energia pela bomba e isto pode acarr</w:t>
      </w:r>
      <w:r>
        <w:t xml:space="preserve">etar na seleção de uma </w:t>
      </w:r>
      <w:r w:rsidRPr="00A52E10">
        <w:t xml:space="preserve">bomba mais </w:t>
      </w:r>
      <w:r>
        <w:t>cara</w:t>
      </w:r>
      <w:r w:rsidRPr="00A52E10">
        <w:t xml:space="preserve"> e/ou</w:t>
      </w:r>
      <w:r w:rsidR="003B1D12">
        <w:t xml:space="preserve"> mais</w:t>
      </w:r>
      <w:r w:rsidRPr="00A52E10">
        <w:t xml:space="preserve"> potente ou até mesmo em um número maior de bombas. Em certas situações onde há a limitação de espaço ou por limitações financeiras uma boa solução é tentar diminuir a perda de carga.</w:t>
      </w:r>
      <w:r w:rsidR="004D4224">
        <w:t xml:space="preserve"> [24]</w:t>
      </w:r>
      <w:r w:rsidRPr="00A52E10">
        <w:t xml:space="preserve"> </w:t>
      </w:r>
    </w:p>
    <w:p w:rsidR="00BD16CD" w:rsidRDefault="00BD16CD" w:rsidP="0022508E">
      <w:r w:rsidRPr="00A52E10">
        <w:t xml:space="preserve">Desta forma se for de interesse avaliar a perda de carga pode ser feita uma análise em termos de energia por todo o circuito hidráulico avaliando a altura manométrica ou pode ser feito um estudo detalhado ao longo da tubulação e analisando cada acessório ou pontos em que ocorrem perdas localizadas. Visando esta última opção temos muitos dados a respeito da perda de carga, mas em geral eles funcionam para fluidos newtonianos. Para outros tipos de fluidos (que possuem uma viscosidade não constante com a tensão de cisalhamento) os dados são mais escassos. </w:t>
      </w:r>
      <w:r w:rsidR="004D4224">
        <w:t>[24]</w:t>
      </w:r>
    </w:p>
    <w:p w:rsidR="00BD16CD" w:rsidRDefault="00BD16CD" w:rsidP="0022508E">
      <w:r w:rsidRPr="00BB16B2">
        <w:t xml:space="preserve">O escoamento de um fluido com massa específica </w:t>
      </w:r>
      <m:oMath>
        <m:r>
          <w:rPr>
            <w:rFonts w:ascii="Cambria Math" w:hAnsi="Cambria Math"/>
          </w:rPr>
          <m:t>ρ</m:t>
        </m:r>
      </m:oMath>
      <w:r w:rsidRPr="00BB16B2">
        <w:t xml:space="preserve">, viscosidade </w:t>
      </w:r>
      <m:oMath>
        <m:r>
          <w:rPr>
            <w:rFonts w:ascii="Cambria Math" w:hAnsi="Cambria Math"/>
          </w:rPr>
          <m:t>n</m:t>
        </m:r>
      </m:oMath>
      <w:r w:rsidRPr="00BB16B2">
        <w:t xml:space="preserve">, submetido entre os pontos 1 e 2 de um tubo circular com diâmetro </w:t>
      </w:r>
      <m:oMath>
        <m:r>
          <w:rPr>
            <w:rFonts w:ascii="Cambria Math" w:hAnsi="Cambria Math"/>
          </w:rPr>
          <m:t>D</m:t>
        </m:r>
      </m:oMath>
      <w:r w:rsidRPr="00BB16B2">
        <w:t xml:space="preserve">, vazão volumétrica </w:t>
      </w:r>
      <m:oMath>
        <m:r>
          <w:rPr>
            <w:rFonts w:ascii="Cambria Math" w:hAnsi="Cambria Math"/>
          </w:rPr>
          <m:t>Q</m:t>
        </m:r>
      </m:oMath>
      <w:r w:rsidRPr="00BB16B2">
        <w:t xml:space="preserve">, e diferença de pressão entre os pontos mencionados igual a </w:t>
      </w:r>
      <m:oMath>
        <m:r>
          <w:rPr>
            <w:rFonts w:ascii="Cambria Math" w:hAnsi="Cambria Math"/>
          </w:rPr>
          <m:t>∆p = ∆p2</m:t>
        </m:r>
        <m:r>
          <w:rPr>
            <w:rFonts w:ascii="Cambria Math" w:eastAsia="Cambria Math" w:hAnsi="Cambria Math" w:cs="Cambria Math"/>
          </w:rPr>
          <m:t>-</m:t>
        </m:r>
        <m:r>
          <w:rPr>
            <w:rFonts w:ascii="Cambria Math" w:hAnsi="Cambria Math"/>
          </w:rPr>
          <m:t xml:space="preserve"> ∆p1</m:t>
        </m:r>
      </m:oMath>
      <w:r w:rsidRPr="00BB16B2">
        <w:t xml:space="preserve"> é ilustrado na </w:t>
      </w:r>
      <w:r w:rsidR="00BB16B2" w:rsidRPr="00BB16B2">
        <w:fldChar w:fldCharType="begin"/>
      </w:r>
      <w:r w:rsidR="00BB16B2" w:rsidRPr="00BB16B2">
        <w:instrText xml:space="preserve"> REF _Ref488097648 \h  \* MERGEFORMAT </w:instrText>
      </w:r>
      <w:r w:rsidR="00BB16B2" w:rsidRPr="00BB16B2">
        <w:fldChar w:fldCharType="separate"/>
      </w:r>
      <w:r w:rsidR="00CB0CA2" w:rsidRPr="002855BE">
        <w:t xml:space="preserve">Figura </w:t>
      </w:r>
      <w:r w:rsidR="00CB0CA2">
        <w:rPr>
          <w:noProof/>
        </w:rPr>
        <w:t>6</w:t>
      </w:r>
      <w:r w:rsidR="00BB16B2" w:rsidRPr="00BB16B2">
        <w:fldChar w:fldCharType="end"/>
      </w:r>
      <w:r w:rsidRPr="000220EB">
        <w:t>.</w:t>
      </w:r>
      <w:r w:rsidR="004D4224">
        <w:t xml:space="preserve"> [26]</w:t>
      </w:r>
    </w:p>
    <w:p w:rsidR="00BD16CD" w:rsidRPr="002855BE" w:rsidRDefault="00BD16CD" w:rsidP="004D2E29">
      <w:pPr>
        <w:pStyle w:val="Figura-PG"/>
      </w:pPr>
      <w:bookmarkStart w:id="39" w:name="_Ref488097648"/>
      <w:bookmarkStart w:id="40" w:name="_Toc488706047"/>
      <w:r w:rsidRPr="002855BE">
        <w:t xml:space="preserve">Figura </w:t>
      </w:r>
      <w:fldSimple w:instr=" SEQ Figura \* ARABIC ">
        <w:r w:rsidR="004C240D">
          <w:rPr>
            <w:noProof/>
          </w:rPr>
          <w:t>6</w:t>
        </w:r>
      </w:fldSimple>
      <w:bookmarkEnd w:id="39"/>
      <w:r w:rsidR="00450291">
        <w:rPr>
          <w:noProof/>
        </w:rPr>
        <w:t xml:space="preserve"> </w:t>
      </w:r>
      <w:r w:rsidR="00450291">
        <w:t xml:space="preserve">- </w:t>
      </w:r>
      <w:r w:rsidRPr="002855BE">
        <w:t>Volume de controle e coordenadas para análise de energia de escoamento através de um tubo.</w:t>
      </w:r>
      <w:bookmarkEnd w:id="40"/>
    </w:p>
    <w:p w:rsidR="00BD16CD" w:rsidRDefault="00031544" w:rsidP="004D2E29">
      <w:pPr>
        <w:spacing w:after="0"/>
        <w:jc w:val="center"/>
        <w:rPr>
          <w:b/>
        </w:rPr>
      </w:pPr>
      <w:r>
        <w:rPr>
          <w:b/>
          <w:noProof/>
          <w:lang w:eastAsia="pt-BR"/>
        </w:rPr>
        <w:drawing>
          <wp:inline distT="0" distB="0" distL="0" distR="0">
            <wp:extent cx="3743325" cy="1304925"/>
            <wp:effectExtent l="0" t="0" r="9525" b="952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3325" cy="1304925"/>
                    </a:xfrm>
                    <a:prstGeom prst="rect">
                      <a:avLst/>
                    </a:prstGeom>
                    <a:noFill/>
                    <a:ln>
                      <a:noFill/>
                    </a:ln>
                  </pic:spPr>
                </pic:pic>
              </a:graphicData>
            </a:graphic>
          </wp:inline>
        </w:drawing>
      </w:r>
    </w:p>
    <w:p w:rsidR="004D2E29" w:rsidRPr="004D2E29" w:rsidRDefault="004D2E29" w:rsidP="004D2E29">
      <w:pPr>
        <w:jc w:val="center"/>
      </w:pPr>
      <w:r w:rsidRPr="004D2E29">
        <w:t>Fonte: (</w:t>
      </w:r>
      <w:r w:rsidR="00CB0CA2" w:rsidRPr="004D2E29">
        <w:t>SILVA</w:t>
      </w:r>
      <w:r w:rsidRPr="004D2E29">
        <w:t>, 2014)</w:t>
      </w:r>
    </w:p>
    <w:p w:rsidR="00F822E4" w:rsidRDefault="00F822E4" w:rsidP="0022508E"/>
    <w:p w:rsidR="00BD16CD" w:rsidRPr="00715698" w:rsidRDefault="00BD16CD" w:rsidP="0022508E">
      <w:r>
        <w:t>A equaçã</w:t>
      </w:r>
      <w:r w:rsidRPr="000220EB">
        <w:t xml:space="preserve">o de perda de carga entre os pontos 1 e </w:t>
      </w:r>
      <w:r>
        <w:t xml:space="preserve">2 do tubo pode ser representada </w:t>
      </w:r>
      <w:r w:rsidRPr="00715698">
        <w:t xml:space="preserve">pela </w:t>
      </w:r>
      <w:r w:rsidR="00FA5AA4" w:rsidRPr="00715698">
        <w:fldChar w:fldCharType="begin"/>
      </w:r>
      <w:r w:rsidR="00FA5AA4" w:rsidRPr="00715698">
        <w:instrText xml:space="preserve"> REF _Ref488097759 \h  \* MERGEFORMAT </w:instrText>
      </w:r>
      <w:r w:rsidR="00FA5AA4" w:rsidRPr="00715698">
        <w:fldChar w:fldCharType="separate"/>
      </w:r>
      <w:r w:rsidR="00380A8E" w:rsidRPr="00380A8E">
        <w:t xml:space="preserve">Equação </w:t>
      </w:r>
      <w:r w:rsidR="00380A8E" w:rsidRPr="00380A8E">
        <w:rPr>
          <w:noProof/>
        </w:rPr>
        <w:t>13</w:t>
      </w:r>
      <w:r w:rsidR="00FA5AA4" w:rsidRPr="00715698">
        <w:fldChar w:fldCharType="end"/>
      </w:r>
      <w:r w:rsidRPr="00715698">
        <w:t>:</w:t>
      </w:r>
    </w:p>
    <w:tbl>
      <w:tblPr>
        <w:tblStyle w:val="Tabelacomgrade"/>
        <w:tblW w:w="0" w:type="auto"/>
        <w:tblCellMar>
          <w:left w:w="0" w:type="dxa"/>
          <w:right w:w="0" w:type="dxa"/>
        </w:tblCellMar>
        <w:tblLook w:val="04A0" w:firstRow="1" w:lastRow="0" w:firstColumn="1" w:lastColumn="0" w:noHBand="0" w:noVBand="1"/>
      </w:tblPr>
      <w:tblGrid>
        <w:gridCol w:w="8395"/>
        <w:gridCol w:w="676"/>
      </w:tblGrid>
      <w:tr w:rsidR="00FA5AA4" w:rsidTr="00715698">
        <w:tc>
          <w:tcPr>
            <w:tcW w:w="8395" w:type="dxa"/>
            <w:tcBorders>
              <w:top w:val="nil"/>
              <w:left w:val="nil"/>
              <w:bottom w:val="nil"/>
              <w:right w:val="nil"/>
            </w:tcBorders>
            <w:vAlign w:val="center"/>
          </w:tcPr>
          <w:p w:rsidR="00FA5AA4" w:rsidRPr="00FA5AA4" w:rsidRDefault="00D83C6E" w:rsidP="0022508E">
            <w:pPr>
              <w:rPr>
                <w:rFonts w:ascii="Cambria Math" w:eastAsiaTheme="minorEastAsia" w:hAnsi="Cambria Math"/>
                <w:bCs/>
                <w:i/>
              </w:rPr>
            </w:pPr>
            <m:oMathPara>
              <m:oMath>
                <m:d>
                  <m:dPr>
                    <m:ctrlPr>
                      <w:rPr>
                        <w:rFonts w:ascii="Cambria Math" w:eastAsiaTheme="minorEastAsia" w:hAnsi="Cambria Math"/>
                        <w:bCs/>
                        <w:i/>
                      </w:rPr>
                    </m:ctrlPr>
                  </m:dPr>
                  <m:e>
                    <m:f>
                      <m:fPr>
                        <m:ctrlPr>
                          <w:rPr>
                            <w:rFonts w:ascii="Cambria Math" w:eastAsiaTheme="minorEastAsia" w:hAnsi="Cambria Math"/>
                            <w:bCs/>
                            <w:i/>
                          </w:rPr>
                        </m:ctrlPr>
                      </m:fPr>
                      <m:num>
                        <m:sSub>
                          <m:sSubPr>
                            <m:ctrlPr>
                              <w:rPr>
                                <w:rFonts w:ascii="Cambria Math" w:eastAsiaTheme="minorEastAsia" w:hAnsi="Cambria Math"/>
                                <w:bCs/>
                                <w:i/>
                              </w:rPr>
                            </m:ctrlPr>
                          </m:sSubPr>
                          <m:e>
                            <m:r>
                              <w:rPr>
                                <w:rFonts w:ascii="Cambria Math" w:eastAsiaTheme="minorEastAsia" w:hAnsi="Cambria Math"/>
                              </w:rPr>
                              <m:t>p</m:t>
                            </m:r>
                          </m:e>
                          <m:sub>
                            <m:r>
                              <w:rPr>
                                <w:rFonts w:ascii="Cambria Math" w:eastAsiaTheme="minorEastAsia" w:hAnsi="Cambria Math"/>
                              </w:rPr>
                              <m:t>1</m:t>
                            </m:r>
                          </m:sub>
                        </m:sSub>
                      </m:num>
                      <m:den>
                        <m:r>
                          <w:rPr>
                            <w:rFonts w:ascii="Cambria Math" w:eastAsiaTheme="minorEastAsia" w:hAnsi="Cambria Math"/>
                          </w:rPr>
                          <m:t>ρ</m:t>
                        </m:r>
                      </m:den>
                    </m:f>
                    <m:r>
                      <w:rPr>
                        <w:rFonts w:ascii="Cambria Math" w:eastAsiaTheme="minorEastAsia" w:hAnsi="Cambria Math"/>
                      </w:rPr>
                      <m:t>+</m:t>
                    </m:r>
                    <m:f>
                      <m:fPr>
                        <m:ctrlPr>
                          <w:rPr>
                            <w:rFonts w:ascii="Cambria Math" w:eastAsiaTheme="minorEastAsia" w:hAnsi="Cambria Math"/>
                            <w:bCs/>
                            <w:i/>
                          </w:rPr>
                        </m:ctrlPr>
                      </m:fPr>
                      <m:num>
                        <m:acc>
                          <m:accPr>
                            <m:chr m:val="̅"/>
                            <m:ctrlPr>
                              <w:rPr>
                                <w:rFonts w:ascii="Cambria Math" w:eastAsiaTheme="minorEastAsia" w:hAnsi="Cambria Math"/>
                                <w:bCs/>
                                <w:i/>
                              </w:rPr>
                            </m:ctrlPr>
                          </m:accPr>
                          <m:e>
                            <m:sSub>
                              <m:sSubPr>
                                <m:ctrlPr>
                                  <w:rPr>
                                    <w:rFonts w:ascii="Cambria Math" w:eastAsiaTheme="minorEastAsia" w:hAnsi="Cambria Math"/>
                                    <w:bCs/>
                                    <w:i/>
                                  </w:rPr>
                                </m:ctrlPr>
                              </m:sSubPr>
                              <m:e>
                                <m:r>
                                  <w:rPr>
                                    <w:rFonts w:ascii="Cambria Math" w:eastAsiaTheme="minorEastAsia" w:hAnsi="Cambria Math"/>
                                  </w:rPr>
                                  <m:t>V</m:t>
                                </m:r>
                              </m:e>
                              <m:sub>
                                <m:r>
                                  <w:rPr>
                                    <w:rFonts w:ascii="Cambria Math" w:eastAsiaTheme="minorEastAsia" w:hAnsi="Cambria Math"/>
                                  </w:rPr>
                                  <m:t>1</m:t>
                                </m:r>
                              </m:sub>
                            </m:sSub>
                          </m:e>
                        </m:acc>
                      </m:num>
                      <m:den>
                        <m:r>
                          <w:rPr>
                            <w:rFonts w:ascii="Cambria Math" w:eastAsiaTheme="minorEastAsia" w:hAnsi="Cambria Math"/>
                          </w:rPr>
                          <m:t>2</m:t>
                        </m:r>
                      </m:den>
                    </m:f>
                    <m:r>
                      <w:rPr>
                        <w:rFonts w:ascii="Cambria Math" w:eastAsiaTheme="minorEastAsia" w:hAnsi="Cambria Math"/>
                      </w:rPr>
                      <m:t>+g</m:t>
                    </m:r>
                    <m:sSub>
                      <m:sSubPr>
                        <m:ctrlPr>
                          <w:rPr>
                            <w:rFonts w:ascii="Cambria Math" w:eastAsiaTheme="minorEastAsia" w:hAnsi="Cambria Math"/>
                            <w:bCs/>
                            <w:i/>
                          </w:rPr>
                        </m:ctrlPr>
                      </m:sSubPr>
                      <m:e>
                        <m:r>
                          <w:rPr>
                            <w:rFonts w:ascii="Cambria Math" w:eastAsiaTheme="minorEastAsia" w:hAnsi="Cambria Math"/>
                          </w:rPr>
                          <m:t>z</m:t>
                        </m:r>
                      </m:e>
                      <m:sub>
                        <m:r>
                          <w:rPr>
                            <w:rFonts w:ascii="Cambria Math" w:eastAsiaTheme="minorEastAsia" w:hAnsi="Cambria Math"/>
                          </w:rPr>
                          <m:t>1</m:t>
                        </m:r>
                      </m:sub>
                    </m:sSub>
                  </m:e>
                </m:d>
                <m:r>
                  <w:rPr>
                    <w:rFonts w:ascii="Cambria Math" w:eastAsiaTheme="minorEastAsia" w:hAnsi="Cambria Math"/>
                  </w:rPr>
                  <m:t>-</m:t>
                </m:r>
                <m:d>
                  <m:dPr>
                    <m:ctrlPr>
                      <w:rPr>
                        <w:rFonts w:ascii="Cambria Math" w:eastAsiaTheme="minorEastAsia" w:hAnsi="Cambria Math"/>
                        <w:bCs/>
                        <w:i/>
                      </w:rPr>
                    </m:ctrlPr>
                  </m:dPr>
                  <m:e>
                    <m:f>
                      <m:fPr>
                        <m:ctrlPr>
                          <w:rPr>
                            <w:rFonts w:ascii="Cambria Math" w:eastAsiaTheme="minorEastAsia" w:hAnsi="Cambria Math"/>
                            <w:bCs/>
                            <w:i/>
                          </w:rPr>
                        </m:ctrlPr>
                      </m:fPr>
                      <m:num>
                        <m:sSub>
                          <m:sSubPr>
                            <m:ctrlPr>
                              <w:rPr>
                                <w:rFonts w:ascii="Cambria Math" w:eastAsiaTheme="minorEastAsia" w:hAnsi="Cambria Math"/>
                                <w:bCs/>
                                <w:i/>
                              </w:rPr>
                            </m:ctrlPr>
                          </m:sSubPr>
                          <m:e>
                            <m:r>
                              <w:rPr>
                                <w:rFonts w:ascii="Cambria Math" w:eastAsiaTheme="minorEastAsia" w:hAnsi="Cambria Math"/>
                              </w:rPr>
                              <m:t>p</m:t>
                            </m:r>
                          </m:e>
                          <m:sub>
                            <m:r>
                              <w:rPr>
                                <w:rFonts w:ascii="Cambria Math" w:eastAsiaTheme="minorEastAsia" w:hAnsi="Cambria Math"/>
                              </w:rPr>
                              <m:t>2</m:t>
                            </m:r>
                          </m:sub>
                        </m:sSub>
                      </m:num>
                      <m:den>
                        <m:r>
                          <w:rPr>
                            <w:rFonts w:ascii="Cambria Math" w:eastAsiaTheme="minorEastAsia" w:hAnsi="Cambria Math"/>
                          </w:rPr>
                          <m:t>ρ</m:t>
                        </m:r>
                      </m:den>
                    </m:f>
                    <m:r>
                      <w:rPr>
                        <w:rFonts w:ascii="Cambria Math" w:eastAsiaTheme="minorEastAsia" w:hAnsi="Cambria Math"/>
                      </w:rPr>
                      <m:t>+</m:t>
                    </m:r>
                    <m:f>
                      <m:fPr>
                        <m:ctrlPr>
                          <w:rPr>
                            <w:rFonts w:ascii="Cambria Math" w:eastAsiaTheme="minorEastAsia" w:hAnsi="Cambria Math"/>
                            <w:bCs/>
                            <w:i/>
                          </w:rPr>
                        </m:ctrlPr>
                      </m:fPr>
                      <m:num>
                        <m:acc>
                          <m:accPr>
                            <m:chr m:val="̅"/>
                            <m:ctrlPr>
                              <w:rPr>
                                <w:rFonts w:ascii="Cambria Math" w:eastAsiaTheme="minorEastAsia" w:hAnsi="Cambria Math"/>
                                <w:bCs/>
                                <w:i/>
                              </w:rPr>
                            </m:ctrlPr>
                          </m:accPr>
                          <m:e>
                            <m:sSub>
                              <m:sSubPr>
                                <m:ctrlPr>
                                  <w:rPr>
                                    <w:rFonts w:ascii="Cambria Math" w:eastAsiaTheme="minorEastAsia" w:hAnsi="Cambria Math"/>
                                    <w:bCs/>
                                    <w:i/>
                                  </w:rPr>
                                </m:ctrlPr>
                              </m:sSubPr>
                              <m:e>
                                <m:r>
                                  <w:rPr>
                                    <w:rFonts w:ascii="Cambria Math" w:eastAsiaTheme="minorEastAsia" w:hAnsi="Cambria Math"/>
                                  </w:rPr>
                                  <m:t>V</m:t>
                                </m:r>
                              </m:e>
                              <m:sub>
                                <m:r>
                                  <w:rPr>
                                    <w:rFonts w:ascii="Cambria Math" w:eastAsiaTheme="minorEastAsia" w:hAnsi="Cambria Math"/>
                                  </w:rPr>
                                  <m:t>2</m:t>
                                </m:r>
                              </m:sub>
                            </m:sSub>
                          </m:e>
                        </m:acc>
                      </m:num>
                      <m:den>
                        <m:r>
                          <w:rPr>
                            <w:rFonts w:ascii="Cambria Math" w:eastAsiaTheme="minorEastAsia" w:hAnsi="Cambria Math"/>
                          </w:rPr>
                          <m:t>2</m:t>
                        </m:r>
                      </m:den>
                    </m:f>
                    <m:r>
                      <w:rPr>
                        <w:rFonts w:ascii="Cambria Math" w:eastAsiaTheme="minorEastAsia" w:hAnsi="Cambria Math"/>
                      </w:rPr>
                      <m:t>+g</m:t>
                    </m:r>
                    <m:sSub>
                      <m:sSubPr>
                        <m:ctrlPr>
                          <w:rPr>
                            <w:rFonts w:ascii="Cambria Math" w:eastAsiaTheme="minorEastAsia" w:hAnsi="Cambria Math"/>
                            <w:bCs/>
                            <w:i/>
                          </w:rPr>
                        </m:ctrlPr>
                      </m:sSubPr>
                      <m:e>
                        <m:r>
                          <w:rPr>
                            <w:rFonts w:ascii="Cambria Math" w:eastAsiaTheme="minorEastAsia" w:hAnsi="Cambria Math"/>
                          </w:rPr>
                          <m:t>z</m:t>
                        </m:r>
                      </m:e>
                      <m:sub>
                        <m:r>
                          <w:rPr>
                            <w:rFonts w:ascii="Cambria Math" w:eastAsiaTheme="minorEastAsia" w:hAnsi="Cambria Math"/>
                          </w:rPr>
                          <m:t>2</m:t>
                        </m:r>
                      </m:sub>
                    </m:sSub>
                  </m:e>
                </m:d>
                <m:r>
                  <w:rPr>
                    <w:rFonts w:ascii="Cambria Math" w:eastAsiaTheme="minorEastAsia" w:hAnsi="Cambria Math"/>
                  </w:rPr>
                  <m:t xml:space="preserve"> = </m:t>
                </m:r>
                <m:sSub>
                  <m:sSubPr>
                    <m:ctrlPr>
                      <w:rPr>
                        <w:rFonts w:ascii="Cambria Math" w:eastAsiaTheme="minorEastAsia" w:hAnsi="Cambria Math"/>
                        <w:bCs/>
                        <w:i/>
                      </w:rPr>
                    </m:ctrlPr>
                  </m:sSubPr>
                  <m:e>
                    <m:r>
                      <w:rPr>
                        <w:rFonts w:ascii="Cambria Math" w:eastAsiaTheme="minorEastAsia" w:hAnsi="Cambria Math"/>
                      </w:rPr>
                      <m:t>h</m:t>
                    </m:r>
                  </m:e>
                  <m:sub>
                    <m:r>
                      <w:rPr>
                        <w:rFonts w:ascii="Cambria Math" w:eastAsiaTheme="minorEastAsia" w:hAnsi="Cambria Math"/>
                      </w:rPr>
                      <m:t>t</m:t>
                    </m:r>
                  </m:sub>
                </m:sSub>
              </m:oMath>
            </m:oMathPara>
          </w:p>
        </w:tc>
        <w:tc>
          <w:tcPr>
            <w:tcW w:w="676" w:type="dxa"/>
            <w:tcBorders>
              <w:top w:val="nil"/>
              <w:left w:val="nil"/>
              <w:bottom w:val="nil"/>
              <w:right w:val="nil"/>
            </w:tcBorders>
            <w:vAlign w:val="center"/>
          </w:tcPr>
          <w:p w:rsidR="00FA5AA4" w:rsidRDefault="00FA5AA4" w:rsidP="0022508E">
            <w:pPr>
              <w:rPr>
                <w:rFonts w:cs="Arial"/>
                <w:szCs w:val="24"/>
              </w:rPr>
            </w:pPr>
            <w:r>
              <w:rPr>
                <w:rFonts w:cs="Arial"/>
                <w:szCs w:val="24"/>
              </w:rPr>
              <w:t>(13)</w:t>
            </w:r>
          </w:p>
        </w:tc>
      </w:tr>
    </w:tbl>
    <w:p w:rsidR="00FA5AA4" w:rsidRPr="00FA5AA4" w:rsidRDefault="00FA5AA4" w:rsidP="00FA5AA4">
      <w:pPr>
        <w:pStyle w:val="Legenda"/>
        <w:rPr>
          <w:b/>
          <w:color w:val="FFFFFF" w:themeColor="background1"/>
        </w:rPr>
      </w:pPr>
      <w:bookmarkStart w:id="41" w:name="_Ref488097759"/>
      <w:r w:rsidRPr="00FA5AA4">
        <w:rPr>
          <w:color w:val="FFFFFF" w:themeColor="background1"/>
        </w:rPr>
        <w:t xml:space="preserve">Equação </w:t>
      </w:r>
      <w:r w:rsidR="001144AF">
        <w:rPr>
          <w:color w:val="FFFFFF" w:themeColor="background1"/>
        </w:rPr>
        <w:fldChar w:fldCharType="begin"/>
      </w:r>
      <w:r w:rsidR="001144AF">
        <w:rPr>
          <w:color w:val="FFFFFF" w:themeColor="background1"/>
        </w:rPr>
        <w:instrText xml:space="preserve"> SEQ Equação \* ARABIC </w:instrText>
      </w:r>
      <w:r w:rsidR="001144AF">
        <w:rPr>
          <w:color w:val="FFFFFF" w:themeColor="background1"/>
        </w:rPr>
        <w:fldChar w:fldCharType="separate"/>
      </w:r>
      <w:r w:rsidR="001144AF">
        <w:rPr>
          <w:noProof/>
          <w:color w:val="FFFFFF" w:themeColor="background1"/>
        </w:rPr>
        <w:t>13</w:t>
      </w:r>
      <w:r w:rsidR="001144AF">
        <w:rPr>
          <w:color w:val="FFFFFF" w:themeColor="background1"/>
        </w:rPr>
        <w:fldChar w:fldCharType="end"/>
      </w:r>
      <w:bookmarkEnd w:id="41"/>
    </w:p>
    <w:p w:rsidR="00BD16CD" w:rsidRDefault="00BD16CD" w:rsidP="0022508E">
      <w:r>
        <w:t xml:space="preserve">Em que </w:t>
      </w:r>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1</m:t>
            </m:r>
          </m:sub>
        </m:sSub>
      </m:oMath>
      <w:r>
        <w:t xml:space="preserve"> e </w:t>
      </w:r>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2</m:t>
            </m:r>
          </m:sub>
        </m:sSub>
      </m:oMath>
      <w:r>
        <w:t xml:space="preserve"> são as pressões estáticas nos pontos 1 e 2, respectivamente; </w:t>
      </w:r>
      <m:oMath>
        <m:acc>
          <m:accPr>
            <m:chr m:val="̅"/>
            <m:ctrlPr>
              <w:rPr>
                <w:rFonts w:ascii="Cambria Math" w:hAnsi="Cambria Math"/>
                <w:i/>
              </w:rPr>
            </m:ctrlPr>
          </m:accPr>
          <m:e>
            <m:sSub>
              <m:sSubPr>
                <m:ctrlPr>
                  <w:rPr>
                    <w:rFonts w:ascii="Cambria Math" w:hAnsi="Cambria Math"/>
                    <w:i/>
                  </w:rPr>
                </m:ctrlPr>
              </m:sSubPr>
              <m:e>
                <m:r>
                  <m:rPr>
                    <m:sty m:val="bi"/>
                  </m:rPr>
                  <w:rPr>
                    <w:rFonts w:ascii="Cambria Math" w:hAnsi="Cambria Math"/>
                  </w:rPr>
                  <m:t>V</m:t>
                </m:r>
              </m:e>
              <m:sub>
                <m:r>
                  <m:rPr>
                    <m:sty m:val="bi"/>
                  </m:rPr>
                  <w:rPr>
                    <w:rFonts w:ascii="Cambria Math" w:hAnsi="Cambria Math"/>
                  </w:rPr>
                  <m:t>1</m:t>
                </m:r>
              </m:sub>
            </m:sSub>
          </m:e>
        </m:acc>
      </m:oMath>
      <w:r>
        <w:t xml:space="preserve"> e </w:t>
      </w:r>
      <m:oMath>
        <m:acc>
          <m:accPr>
            <m:chr m:val="̅"/>
            <m:ctrlPr>
              <w:rPr>
                <w:rFonts w:ascii="Cambria Math" w:hAnsi="Cambria Math"/>
                <w:i/>
              </w:rPr>
            </m:ctrlPr>
          </m:accPr>
          <m:e>
            <m:sSub>
              <m:sSubPr>
                <m:ctrlPr>
                  <w:rPr>
                    <w:rFonts w:ascii="Cambria Math" w:hAnsi="Cambria Math"/>
                    <w:i/>
                  </w:rPr>
                </m:ctrlPr>
              </m:sSubPr>
              <m:e>
                <m:r>
                  <m:rPr>
                    <m:sty m:val="bi"/>
                  </m:rPr>
                  <w:rPr>
                    <w:rFonts w:ascii="Cambria Math" w:hAnsi="Cambria Math"/>
                  </w:rPr>
                  <m:t>V</m:t>
                </m:r>
              </m:e>
              <m:sub>
                <m:r>
                  <m:rPr>
                    <m:sty m:val="bi"/>
                  </m:rPr>
                  <w:rPr>
                    <w:rFonts w:ascii="Cambria Math" w:hAnsi="Cambria Math"/>
                  </w:rPr>
                  <m:t>2</m:t>
                </m:r>
              </m:sub>
            </m:sSub>
          </m:e>
        </m:acc>
      </m:oMath>
      <w:r>
        <w:t xml:space="preserve"> são as velocidades médias nos pontos 1 e 2, respectivamente; </w:t>
      </w:r>
      <m:oMath>
        <m:r>
          <m:rPr>
            <m:sty m:val="bi"/>
          </m:rPr>
          <w:rPr>
            <w:rFonts w:ascii="Cambria Math" w:hAnsi="Cambria Math"/>
          </w:rPr>
          <m:t>g</m:t>
        </m:r>
      </m:oMath>
      <w:r>
        <w:t xml:space="preserve"> é a aceleração local da gravidade; </w:t>
      </w:r>
      <m:oMath>
        <m:sSub>
          <m:sSubPr>
            <m:ctrlPr>
              <w:rPr>
                <w:rFonts w:ascii="Cambria Math" w:hAnsi="Cambria Math"/>
                <w:i/>
              </w:rPr>
            </m:ctrlPr>
          </m:sSubPr>
          <m:e>
            <m:r>
              <m:rPr>
                <m:sty m:val="bi"/>
              </m:rPr>
              <w:rPr>
                <w:rFonts w:ascii="Cambria Math" w:hAnsi="Cambria Math"/>
              </w:rPr>
              <m:t>z</m:t>
            </m:r>
          </m:e>
          <m:sub>
            <m:r>
              <m:rPr>
                <m:sty m:val="bi"/>
              </m:rPr>
              <w:rPr>
                <w:rFonts w:ascii="Cambria Math" w:hAnsi="Cambria Math"/>
              </w:rPr>
              <m:t>1</m:t>
            </m:r>
          </m:sub>
        </m:sSub>
      </m:oMath>
      <w:r>
        <w:t xml:space="preserve"> e </w:t>
      </w:r>
      <m:oMath>
        <m:sSub>
          <m:sSubPr>
            <m:ctrlPr>
              <w:rPr>
                <w:rFonts w:ascii="Cambria Math" w:hAnsi="Cambria Math"/>
                <w:i/>
              </w:rPr>
            </m:ctrlPr>
          </m:sSubPr>
          <m:e>
            <m:r>
              <m:rPr>
                <m:sty m:val="bi"/>
              </m:rPr>
              <w:rPr>
                <w:rFonts w:ascii="Cambria Math" w:hAnsi="Cambria Math"/>
              </w:rPr>
              <m:t>z</m:t>
            </m:r>
          </m:e>
          <m:sub>
            <m:r>
              <m:rPr>
                <m:sty m:val="bi"/>
              </m:rPr>
              <w:rPr>
                <w:rFonts w:ascii="Cambria Math" w:hAnsi="Cambria Math"/>
              </w:rPr>
              <m:t>2</m:t>
            </m:r>
          </m:sub>
        </m:sSub>
      </m:oMath>
      <w:r>
        <w:t xml:space="preserve"> são as coordenadas verticais dos pontos 1 e 2, respectivamente; e </w:t>
      </w:r>
      <m:oMath>
        <m:sSub>
          <m:sSubPr>
            <m:ctrlPr>
              <w:rPr>
                <w:rFonts w:ascii="Cambria Math" w:hAnsi="Cambria Math"/>
                <w:i/>
              </w:rPr>
            </m:ctrlPr>
          </m:sSubPr>
          <m:e>
            <m:r>
              <m:rPr>
                <m:sty m:val="bi"/>
              </m:rPr>
              <w:rPr>
                <w:rFonts w:ascii="Cambria Math" w:hAnsi="Cambria Math"/>
              </w:rPr>
              <m:t>h</m:t>
            </m:r>
          </m:e>
          <m:sub>
            <m:r>
              <m:rPr>
                <m:sty m:val="bi"/>
              </m:rPr>
              <w:rPr>
                <w:rFonts w:ascii="Cambria Math" w:hAnsi="Cambria Math"/>
              </w:rPr>
              <m:t>t</m:t>
            </m:r>
          </m:sub>
        </m:sSub>
      </m:oMath>
      <w:r>
        <w:t xml:space="preserve"> é a perda de carga total.</w:t>
      </w:r>
    </w:p>
    <w:p w:rsidR="00BD16CD" w:rsidRDefault="00BD16CD" w:rsidP="0022508E">
      <w:r w:rsidRPr="00715698">
        <w:t xml:space="preserve">A perda de carga total, </w:t>
      </w:r>
      <m:oMath>
        <m:sSub>
          <m:sSubPr>
            <m:ctrlPr>
              <w:rPr>
                <w:rFonts w:ascii="Cambria Math" w:hAnsi="Cambria Math"/>
                <w:i/>
              </w:rPr>
            </m:ctrlPr>
          </m:sSubPr>
          <m:e>
            <m:r>
              <w:rPr>
                <w:rFonts w:ascii="Cambria Math" w:hAnsi="Cambria Math"/>
              </w:rPr>
              <m:t>h</m:t>
            </m:r>
          </m:e>
          <m:sub>
            <m:r>
              <w:rPr>
                <w:rFonts w:ascii="Cambria Math" w:hAnsi="Cambria Math"/>
              </w:rPr>
              <m:t>t</m:t>
            </m:r>
          </m:sub>
        </m:sSub>
      </m:oMath>
      <w:r w:rsidRPr="00715698">
        <w:t xml:space="preserve">, é considerada como a soma das perdas distribuídas, </w:t>
      </w:r>
      <m:oMath>
        <m:sSub>
          <m:sSubPr>
            <m:ctrlPr>
              <w:rPr>
                <w:rFonts w:ascii="Cambria Math" w:hAnsi="Cambria Math"/>
                <w:i/>
              </w:rPr>
            </m:ctrlPr>
          </m:sSubPr>
          <m:e>
            <m:r>
              <w:rPr>
                <w:rFonts w:ascii="Cambria Math" w:hAnsi="Cambria Math"/>
              </w:rPr>
              <m:t>h</m:t>
            </m:r>
          </m:e>
          <m:sub>
            <m:r>
              <w:rPr>
                <w:rFonts w:ascii="Cambria Math" w:hAnsi="Cambria Math"/>
              </w:rPr>
              <m:t>d</m:t>
            </m:r>
          </m:sub>
        </m:sSub>
      </m:oMath>
      <w:r w:rsidRPr="00715698">
        <w:t>, devido aos efeitos de atrito no escoamento desenvolvido em tubos de seção constante, com perdas de carga localizadas,</w:t>
      </w:r>
      <m:oMath>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1</m:t>
            </m:r>
          </m:sub>
        </m:sSub>
      </m:oMath>
      <w:r w:rsidRPr="00715698">
        <w:t>, devido às entradas, saídas, acessórios, mudanças de área, etc. Considerando que não há nenhum acessório entre os pontos 1 e 2, pode-se desconsiderar a perda de carga localizada. Assim, a perda de carga total engloba apenas as perdas distribuídas geradas pelo atrito existente entre o fluido e a parede do tubo. Ao considerar que o tubo é horizontal e de área constante, as velocidades médias nos pontos 1 e 2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1</m:t>
                </m:r>
              </m:sub>
            </m:sSub>
          </m:e>
        </m:acc>
      </m:oMath>
      <w:r w:rsidRPr="00715698">
        <w:t xml:space="preserve"> 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2</m:t>
                </m:r>
              </m:sub>
            </m:sSub>
          </m:e>
        </m:acc>
        <m:r>
          <w:rPr>
            <w:rFonts w:ascii="Cambria Math" w:hAnsi="Cambria Math"/>
          </w:rPr>
          <m:t>)</m:t>
        </m:r>
      </m:oMath>
      <w:r w:rsidRPr="00715698">
        <w:t xml:space="preserve"> são igualadas, assim como as coordenadas dos pontos 1 e 2</w:t>
      </w:r>
      <m:oMath>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 xml:space="preserve"> </m:t>
        </m:r>
      </m:oMath>
      <w:r w:rsidRPr="00715698">
        <w:t xml:space="preserve">= </w:t>
      </w:r>
      <m:oMath>
        <m:sSub>
          <m:sSubPr>
            <m:ctrlPr>
              <w:rPr>
                <w:rFonts w:ascii="Cambria Math" w:hAnsi="Cambria Math"/>
                <w:i/>
              </w:rPr>
            </m:ctrlPr>
          </m:sSubPr>
          <m:e>
            <m:r>
              <w:rPr>
                <w:rFonts w:ascii="Cambria Math" w:hAnsi="Cambria Math"/>
              </w:rPr>
              <m:t>z</m:t>
            </m:r>
          </m:e>
          <m:sub>
            <m:r>
              <w:rPr>
                <w:rFonts w:ascii="Cambria Math" w:hAnsi="Cambria Math"/>
              </w:rPr>
              <m:t>2</m:t>
            </m:r>
          </m:sub>
        </m:sSub>
      </m:oMath>
      <w:r w:rsidRPr="00715698">
        <w:t xml:space="preserve">). Logo, a </w:t>
      </w:r>
      <w:r w:rsidR="00FA5AA4" w:rsidRPr="00715698">
        <w:fldChar w:fldCharType="begin"/>
      </w:r>
      <w:r w:rsidR="00FA5AA4" w:rsidRPr="00715698">
        <w:instrText xml:space="preserve"> REF _Ref488097759 \h  \* MERGEFORMAT </w:instrText>
      </w:r>
      <w:r w:rsidR="00FA5AA4" w:rsidRPr="00715698">
        <w:fldChar w:fldCharType="separate"/>
      </w:r>
      <w:r w:rsidR="00380A8E" w:rsidRPr="00380A8E">
        <w:t xml:space="preserve">Equação </w:t>
      </w:r>
      <w:r w:rsidR="00380A8E" w:rsidRPr="00380A8E">
        <w:rPr>
          <w:noProof/>
        </w:rPr>
        <w:t>13</w:t>
      </w:r>
      <w:r w:rsidR="00FA5AA4" w:rsidRPr="00715698">
        <w:fldChar w:fldCharType="end"/>
      </w:r>
      <w:r w:rsidRPr="00715698">
        <w:t xml:space="preserve"> se resume a </w:t>
      </w:r>
      <w:r w:rsidR="00715698" w:rsidRPr="00715698">
        <w:fldChar w:fldCharType="begin"/>
      </w:r>
      <w:r w:rsidR="00715698" w:rsidRPr="00715698">
        <w:instrText xml:space="preserve"> REF _Ref488097880 \h  \* MERGEFORMAT </w:instrText>
      </w:r>
      <w:r w:rsidR="00715698" w:rsidRPr="00715698">
        <w:fldChar w:fldCharType="separate"/>
      </w:r>
      <w:r w:rsidR="00380A8E" w:rsidRPr="00380A8E">
        <w:t xml:space="preserve">Equação </w:t>
      </w:r>
      <w:r w:rsidR="00380A8E" w:rsidRPr="00380A8E">
        <w:rPr>
          <w:noProof/>
        </w:rPr>
        <w:t>14</w:t>
      </w:r>
      <w:r w:rsidR="00715698" w:rsidRPr="00715698">
        <w:fldChar w:fldCharType="end"/>
      </w:r>
      <w:r w:rsidR="00715698" w:rsidRPr="00715698">
        <w:t xml:space="preserve"> </w:t>
      </w:r>
      <w:r w:rsidRPr="00FA5AA4">
        <w:t>mostrada abaixo:</w:t>
      </w:r>
    </w:p>
    <w:tbl>
      <w:tblPr>
        <w:tblStyle w:val="Tabelacomgrade"/>
        <w:tblW w:w="0" w:type="auto"/>
        <w:tblCellMar>
          <w:left w:w="0" w:type="dxa"/>
          <w:right w:w="0" w:type="dxa"/>
        </w:tblCellMar>
        <w:tblLook w:val="04A0" w:firstRow="1" w:lastRow="0" w:firstColumn="1" w:lastColumn="0" w:noHBand="0" w:noVBand="1"/>
      </w:tblPr>
      <w:tblGrid>
        <w:gridCol w:w="8395"/>
        <w:gridCol w:w="676"/>
      </w:tblGrid>
      <w:tr w:rsidR="00FA5AA4" w:rsidTr="00715698">
        <w:tc>
          <w:tcPr>
            <w:tcW w:w="8395" w:type="dxa"/>
            <w:tcBorders>
              <w:top w:val="nil"/>
              <w:left w:val="nil"/>
              <w:bottom w:val="nil"/>
              <w:right w:val="nil"/>
            </w:tcBorders>
            <w:vAlign w:val="center"/>
          </w:tcPr>
          <w:p w:rsidR="00FA5AA4" w:rsidRPr="00FA5AA4" w:rsidRDefault="00D83C6E" w:rsidP="0022508E">
            <w:pPr>
              <w:spacing w:after="0" w:line="240" w:lineRule="auto"/>
            </w:pPr>
            <m:oMathPara>
              <m:oMath>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p</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p</m:t>
                            </m:r>
                          </m:e>
                          <m:sub>
                            <m:r>
                              <m:rPr>
                                <m:sty m:val="p"/>
                              </m:rPr>
                              <w:rPr>
                                <w:rFonts w:ascii="Cambria Math" w:hAnsi="Cambria Math"/>
                              </w:rPr>
                              <m:t>2</m:t>
                            </m:r>
                          </m:sub>
                        </m:sSub>
                      </m:num>
                      <m:den>
                        <m:r>
                          <w:rPr>
                            <w:rFonts w:ascii="Cambria Math" w:hAnsi="Cambria Math"/>
                          </w:rPr>
                          <m:t>ρ</m:t>
                        </m:r>
                      </m:den>
                    </m:f>
                  </m:e>
                </m:d>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p</m:t>
                    </m:r>
                  </m:num>
                  <m:den>
                    <m:r>
                      <w:rPr>
                        <w:rFonts w:ascii="Cambria Math" w:hAnsi="Cambria Math"/>
                      </w:rPr>
                      <m:t>ρ</m:t>
                    </m:r>
                  </m:den>
                </m:f>
                <m:r>
                  <m:rPr>
                    <m:sty m:val="p"/>
                  </m:rPr>
                  <w:rPr>
                    <w:rFonts w:ascii="Cambria Math" w:hAnsi="Cambria Math"/>
                  </w:rPr>
                  <m:t xml:space="preserve">= </m:t>
                </m:r>
                <m:sSub>
                  <m:sSubPr>
                    <m:ctrlPr>
                      <w:rPr>
                        <w:rFonts w:ascii="Cambria Math" w:hAnsi="Cambria Math"/>
                      </w:rPr>
                    </m:ctrlPr>
                  </m:sSubPr>
                  <m:e>
                    <m:r>
                      <w:rPr>
                        <w:rFonts w:ascii="Cambria Math" w:hAnsi="Cambria Math"/>
                      </w:rPr>
                      <m:t>h</m:t>
                    </m:r>
                  </m:e>
                  <m:sub>
                    <m:r>
                      <w:rPr>
                        <w:rFonts w:ascii="Cambria Math" w:hAnsi="Cambria Math"/>
                      </w:rPr>
                      <m:t>t</m:t>
                    </m:r>
                  </m:sub>
                </m:sSub>
              </m:oMath>
            </m:oMathPara>
          </w:p>
        </w:tc>
        <w:tc>
          <w:tcPr>
            <w:tcW w:w="676" w:type="dxa"/>
            <w:tcBorders>
              <w:top w:val="nil"/>
              <w:left w:val="nil"/>
              <w:bottom w:val="nil"/>
              <w:right w:val="nil"/>
            </w:tcBorders>
            <w:vAlign w:val="center"/>
          </w:tcPr>
          <w:p w:rsidR="00FA5AA4" w:rsidRDefault="00FA5AA4" w:rsidP="0022508E">
            <w:pPr>
              <w:spacing w:after="0" w:line="240" w:lineRule="auto"/>
              <w:rPr>
                <w:rFonts w:cs="Arial"/>
                <w:szCs w:val="24"/>
              </w:rPr>
            </w:pPr>
            <w:r>
              <w:rPr>
                <w:rFonts w:cs="Arial"/>
                <w:szCs w:val="24"/>
              </w:rPr>
              <w:t>(14)</w:t>
            </w:r>
          </w:p>
        </w:tc>
      </w:tr>
    </w:tbl>
    <w:p w:rsidR="00FA5AA4" w:rsidRPr="0022508E" w:rsidRDefault="00FA5AA4">
      <w:pPr>
        <w:pStyle w:val="Legenda"/>
        <w:rPr>
          <w:color w:val="FFFFFF" w:themeColor="background1"/>
        </w:rPr>
      </w:pPr>
      <w:bookmarkStart w:id="42" w:name="_Ref488097880"/>
      <w:r w:rsidRPr="0022508E">
        <w:rPr>
          <w:color w:val="FFFFFF" w:themeColor="background1"/>
        </w:rPr>
        <w:t xml:space="preserve">Equação </w:t>
      </w:r>
      <w:r w:rsidR="001144AF">
        <w:rPr>
          <w:color w:val="FFFFFF" w:themeColor="background1"/>
        </w:rPr>
        <w:fldChar w:fldCharType="begin"/>
      </w:r>
      <w:r w:rsidR="001144AF">
        <w:rPr>
          <w:color w:val="FFFFFF" w:themeColor="background1"/>
        </w:rPr>
        <w:instrText xml:space="preserve"> SEQ Equação \* ARABIC </w:instrText>
      </w:r>
      <w:r w:rsidR="001144AF">
        <w:rPr>
          <w:color w:val="FFFFFF" w:themeColor="background1"/>
        </w:rPr>
        <w:fldChar w:fldCharType="separate"/>
      </w:r>
      <w:r w:rsidR="001144AF">
        <w:rPr>
          <w:noProof/>
          <w:color w:val="FFFFFF" w:themeColor="background1"/>
        </w:rPr>
        <w:t>14</w:t>
      </w:r>
      <w:r w:rsidR="001144AF">
        <w:rPr>
          <w:color w:val="FFFFFF" w:themeColor="background1"/>
        </w:rPr>
        <w:fldChar w:fldCharType="end"/>
      </w:r>
      <w:bookmarkEnd w:id="42"/>
    </w:p>
    <w:p w:rsidR="00BD16CD" w:rsidRPr="00715698" w:rsidRDefault="00BD16CD" w:rsidP="0022508E">
      <w:r w:rsidRPr="00E74E84">
        <w:t xml:space="preserve">No escoamento turbulento inteiramente </w:t>
      </w:r>
      <w:r>
        <w:t>desenvolvido, a queda de pressã</w:t>
      </w:r>
      <w:r w:rsidRPr="00E74E84">
        <w:t>o devido ao atrito, num</w:t>
      </w:r>
      <w:r>
        <w:t xml:space="preserve"> tubo horizontal de área constante, depende do diâ</w:t>
      </w:r>
      <w:r w:rsidRPr="00E74E84">
        <w:t xml:space="preserve">metro do tubo, </w:t>
      </w:r>
      <m:oMath>
        <m:r>
          <m:rPr>
            <m:sty m:val="bi"/>
          </m:rPr>
          <w:rPr>
            <w:rFonts w:ascii="Cambria Math" w:hAnsi="Cambria Math"/>
          </w:rPr>
          <m:t>D</m:t>
        </m:r>
      </m:oMath>
      <w:r w:rsidRPr="00E74E84">
        <w:t>,</w:t>
      </w:r>
      <w:r>
        <w:t xml:space="preserve"> </w:t>
      </w:r>
      <w:r w:rsidRPr="00E74E84">
        <w:t xml:space="preserve">do seu comprimento, </w:t>
      </w:r>
      <m:oMath>
        <m:r>
          <m:rPr>
            <m:sty m:val="bi"/>
          </m:rPr>
          <w:rPr>
            <w:rFonts w:ascii="Cambria Math" w:hAnsi="Cambria Math"/>
          </w:rPr>
          <m:t>L</m:t>
        </m:r>
      </m:oMath>
      <w:r w:rsidRPr="00E74E84">
        <w:t>,</w:t>
      </w:r>
      <w:r>
        <w:t xml:space="preserve"> da sua rugosidade, </w:t>
      </w:r>
      <m:oMath>
        <m:r>
          <m:rPr>
            <m:sty m:val="bi"/>
          </m:rPr>
          <w:rPr>
            <w:rFonts w:ascii="Cambria Math" w:hAnsi="Cambria Math"/>
          </w:rPr>
          <m:t>e</m:t>
        </m:r>
      </m:oMath>
      <w:r>
        <w:t xml:space="preserve">, da velocidade média de escoamento, </w:t>
      </w:r>
      <m:oMath>
        <m:acc>
          <m:accPr>
            <m:chr m:val="̅"/>
            <m:ctrlPr>
              <w:rPr>
                <w:rFonts w:ascii="Cambria Math" w:hAnsi="Cambria Math"/>
                <w:i/>
              </w:rPr>
            </m:ctrlPr>
          </m:accPr>
          <m:e>
            <m:r>
              <m:rPr>
                <m:sty m:val="bi"/>
              </m:rPr>
              <w:rPr>
                <w:rFonts w:ascii="Cambria Math" w:hAnsi="Cambria Math"/>
              </w:rPr>
              <m:t>V</m:t>
            </m:r>
          </m:e>
        </m:acc>
      </m:oMath>
      <w:r>
        <w:t xml:space="preserve">, da massa específica, </w:t>
      </w:r>
      <m:oMath>
        <m:r>
          <m:rPr>
            <m:sty m:val="bi"/>
          </m:rPr>
          <w:rPr>
            <w:rFonts w:ascii="Cambria Math" w:hAnsi="Cambria Math"/>
          </w:rPr>
          <m:t>η</m:t>
        </m:r>
      </m:oMath>
      <w:r>
        <w:t>, do fluido conforme a</w:t>
      </w:r>
      <w:r w:rsidRPr="00715698">
        <w:t xml:space="preserve"> </w:t>
      </w:r>
      <w:r w:rsidR="00715698" w:rsidRPr="00715698">
        <w:fldChar w:fldCharType="begin"/>
      </w:r>
      <w:r w:rsidR="00715698" w:rsidRPr="00715698">
        <w:instrText xml:space="preserve"> REF _Ref488098013 \h  \* MERGEFORMAT </w:instrText>
      </w:r>
      <w:r w:rsidR="00715698" w:rsidRPr="00715698">
        <w:fldChar w:fldCharType="separate"/>
      </w:r>
      <w:r w:rsidR="00380A8E" w:rsidRPr="00380A8E">
        <w:t xml:space="preserve">Equação </w:t>
      </w:r>
      <w:r w:rsidR="00380A8E" w:rsidRPr="00380A8E">
        <w:rPr>
          <w:noProof/>
        </w:rPr>
        <w:t>15</w:t>
      </w:r>
      <w:r w:rsidR="00715698" w:rsidRPr="00715698">
        <w:fldChar w:fldCharType="end"/>
      </w:r>
      <w:r w:rsidRPr="00715698">
        <w:t>:</w:t>
      </w:r>
    </w:p>
    <w:tbl>
      <w:tblPr>
        <w:tblStyle w:val="Tabelacomgrade"/>
        <w:tblW w:w="0" w:type="auto"/>
        <w:tblCellMar>
          <w:left w:w="0" w:type="dxa"/>
          <w:right w:w="0" w:type="dxa"/>
        </w:tblCellMar>
        <w:tblLook w:val="04A0" w:firstRow="1" w:lastRow="0" w:firstColumn="1" w:lastColumn="0" w:noHBand="0" w:noVBand="1"/>
      </w:tblPr>
      <w:tblGrid>
        <w:gridCol w:w="8395"/>
        <w:gridCol w:w="676"/>
      </w:tblGrid>
      <w:tr w:rsidR="00715698" w:rsidTr="00715698">
        <w:tc>
          <w:tcPr>
            <w:tcW w:w="8395" w:type="dxa"/>
            <w:tcBorders>
              <w:top w:val="nil"/>
              <w:left w:val="nil"/>
              <w:bottom w:val="nil"/>
              <w:right w:val="nil"/>
            </w:tcBorders>
            <w:vAlign w:val="center"/>
          </w:tcPr>
          <w:p w:rsidR="00715698" w:rsidRPr="0022508E" w:rsidRDefault="00715698" w:rsidP="0022508E">
            <w:pPr>
              <w:spacing w:after="0" w:line="240" w:lineRule="auto"/>
              <w:rPr>
                <w:rFonts w:ascii="Cambria Math" w:hAnsi="Cambria Math"/>
              </w:rPr>
            </w:pPr>
            <m:oMathPara>
              <m:oMath>
                <m:r>
                  <m:rPr>
                    <m:sty m:val="p"/>
                  </m:rPr>
                  <w:rPr>
                    <w:rFonts w:ascii="Cambria Math" w:hAnsi="Cambria Math"/>
                  </w:rPr>
                  <m:t>∆</m:t>
                </m:r>
                <m:r>
                  <w:rPr>
                    <w:rFonts w:ascii="Cambria Math" w:hAnsi="Cambria Math"/>
                  </w:rPr>
                  <m:t>p</m:t>
                </m:r>
                <m:r>
                  <m:rPr>
                    <m:sty m:val="p"/>
                  </m:rPr>
                  <w:rPr>
                    <w:rFonts w:ascii="Cambria Math" w:hAnsi="Cambria Math"/>
                  </w:rPr>
                  <m:t>= ∆</m:t>
                </m:r>
                <m:r>
                  <w:rPr>
                    <w:rFonts w:ascii="Cambria Math" w:hAnsi="Cambria Math"/>
                  </w:rPr>
                  <m:t>p</m:t>
                </m:r>
                <m:r>
                  <m:rPr>
                    <m:sty m:val="p"/>
                  </m:rPr>
                  <w:rPr>
                    <w:rFonts w:ascii="Cambria Math" w:hAnsi="Cambria Math"/>
                  </w:rPr>
                  <m:t xml:space="preserve"> (</m:t>
                </m:r>
                <m:r>
                  <w:rPr>
                    <w:rFonts w:ascii="Cambria Math" w:hAnsi="Cambria Math"/>
                  </w:rPr>
                  <m:t>D</m:t>
                </m:r>
                <m:r>
                  <m:rPr>
                    <m:sty m:val="p"/>
                  </m:rPr>
                  <w:rPr>
                    <w:rFonts w:ascii="Cambria Math" w:hAnsi="Cambria Math"/>
                  </w:rPr>
                  <m:t>,</m:t>
                </m:r>
                <m:r>
                  <w:rPr>
                    <w:rFonts w:ascii="Cambria Math" w:hAnsi="Cambria Math"/>
                  </w:rPr>
                  <m:t>L</m:t>
                </m:r>
                <m:r>
                  <m:rPr>
                    <m:sty m:val="p"/>
                  </m:rPr>
                  <w:rPr>
                    <w:rFonts w:ascii="Cambria Math" w:hAnsi="Cambria Math"/>
                  </w:rPr>
                  <m:t>,</m:t>
                </m:r>
                <m:r>
                  <w:rPr>
                    <w:rFonts w:ascii="Cambria Math" w:hAnsi="Cambria Math"/>
                  </w:rPr>
                  <m:t>e</m:t>
                </m:r>
                <m:r>
                  <m:rPr>
                    <m:sty m:val="p"/>
                  </m:rPr>
                  <w:rPr>
                    <w:rFonts w:ascii="Cambria Math" w:hAnsi="Cambria Math"/>
                  </w:rPr>
                  <m:t>,</m:t>
                </m:r>
                <m:acc>
                  <m:accPr>
                    <m:chr m:val="̅"/>
                    <m:ctrlPr>
                      <w:rPr>
                        <w:rFonts w:ascii="Cambria Math" w:hAnsi="Cambria Math"/>
                      </w:rPr>
                    </m:ctrlPr>
                  </m:accPr>
                  <m:e>
                    <m:r>
                      <w:rPr>
                        <w:rFonts w:ascii="Cambria Math" w:hAnsi="Cambria Math"/>
                      </w:rPr>
                      <m:t>V</m:t>
                    </m:r>
                  </m:e>
                </m:acc>
                <m:r>
                  <m:rPr>
                    <m:sty m:val="p"/>
                  </m:rPr>
                  <w:rPr>
                    <w:rFonts w:ascii="Cambria Math" w:hAnsi="Cambria Math"/>
                  </w:rPr>
                  <m:t>,</m:t>
                </m:r>
                <m:r>
                  <w:rPr>
                    <w:rFonts w:ascii="Cambria Math" w:hAnsi="Cambria Math"/>
                  </w:rPr>
                  <m:t>ρ</m:t>
                </m:r>
                <m:r>
                  <m:rPr>
                    <m:sty m:val="p"/>
                  </m:rPr>
                  <w:rPr>
                    <w:rFonts w:ascii="Cambria Math" w:hAnsi="Cambria Math"/>
                  </w:rPr>
                  <m:t xml:space="preserve">, </m:t>
                </m:r>
                <m:r>
                  <w:rPr>
                    <w:rFonts w:ascii="Cambria Math" w:hAnsi="Cambria Math"/>
                  </w:rPr>
                  <m:t>η</m:t>
                </m:r>
                <m:r>
                  <m:rPr>
                    <m:sty m:val="p"/>
                  </m:rPr>
                  <w:rPr>
                    <w:rFonts w:ascii="Cambria Math" w:hAnsi="Cambria Math"/>
                  </w:rPr>
                  <m:t>)</m:t>
                </m:r>
              </m:oMath>
            </m:oMathPara>
          </w:p>
        </w:tc>
        <w:tc>
          <w:tcPr>
            <w:tcW w:w="676" w:type="dxa"/>
            <w:tcBorders>
              <w:top w:val="nil"/>
              <w:left w:val="nil"/>
              <w:bottom w:val="nil"/>
              <w:right w:val="nil"/>
            </w:tcBorders>
            <w:vAlign w:val="center"/>
          </w:tcPr>
          <w:p w:rsidR="00715698" w:rsidRDefault="00715698" w:rsidP="0022508E">
            <w:pPr>
              <w:rPr>
                <w:rFonts w:cs="Arial"/>
                <w:szCs w:val="24"/>
              </w:rPr>
            </w:pPr>
            <w:r>
              <w:rPr>
                <w:rFonts w:cs="Arial"/>
                <w:szCs w:val="24"/>
              </w:rPr>
              <w:t>(15)</w:t>
            </w:r>
          </w:p>
        </w:tc>
      </w:tr>
    </w:tbl>
    <w:p w:rsidR="00715698" w:rsidRPr="00715698" w:rsidRDefault="00715698" w:rsidP="00715698">
      <w:pPr>
        <w:pStyle w:val="Legenda"/>
        <w:rPr>
          <w:rFonts w:eastAsiaTheme="minorEastAsia"/>
          <w:b/>
          <w:color w:val="FFFFFF" w:themeColor="background1"/>
        </w:rPr>
      </w:pPr>
      <w:bookmarkStart w:id="43" w:name="_Ref488098013"/>
      <w:r w:rsidRPr="00715698">
        <w:rPr>
          <w:color w:val="FFFFFF" w:themeColor="background1"/>
        </w:rPr>
        <w:t xml:space="preserve">Equação </w:t>
      </w:r>
      <w:r w:rsidR="001144AF">
        <w:rPr>
          <w:color w:val="FFFFFF" w:themeColor="background1"/>
        </w:rPr>
        <w:fldChar w:fldCharType="begin"/>
      </w:r>
      <w:r w:rsidR="001144AF">
        <w:rPr>
          <w:color w:val="FFFFFF" w:themeColor="background1"/>
        </w:rPr>
        <w:instrText xml:space="preserve"> SEQ Equação \* ARABIC </w:instrText>
      </w:r>
      <w:r w:rsidR="001144AF">
        <w:rPr>
          <w:color w:val="FFFFFF" w:themeColor="background1"/>
        </w:rPr>
        <w:fldChar w:fldCharType="separate"/>
      </w:r>
      <w:r w:rsidR="001144AF">
        <w:rPr>
          <w:noProof/>
          <w:color w:val="FFFFFF" w:themeColor="background1"/>
        </w:rPr>
        <w:t>15</w:t>
      </w:r>
      <w:r w:rsidR="001144AF">
        <w:rPr>
          <w:color w:val="FFFFFF" w:themeColor="background1"/>
        </w:rPr>
        <w:fldChar w:fldCharType="end"/>
      </w:r>
      <w:bookmarkEnd w:id="43"/>
    </w:p>
    <w:p w:rsidR="00BD16CD" w:rsidRDefault="00BD16CD" w:rsidP="0022508E">
      <w:r w:rsidRPr="00715698">
        <w:t xml:space="preserve">Ao aplicar a análise dimensional, a relação entre os parâmetros pode ser demonstrada na </w:t>
      </w:r>
      <w:r w:rsidR="00715698" w:rsidRPr="00715698">
        <w:fldChar w:fldCharType="begin"/>
      </w:r>
      <w:r w:rsidR="00715698" w:rsidRPr="00715698">
        <w:instrText xml:space="preserve"> REF _Ref488098024 \h  \* MERGEFORMAT </w:instrText>
      </w:r>
      <w:r w:rsidR="00715698" w:rsidRPr="00715698">
        <w:fldChar w:fldCharType="separate"/>
      </w:r>
      <w:r w:rsidR="00380A8E" w:rsidRPr="00380A8E">
        <w:t xml:space="preserve">Equação </w:t>
      </w:r>
      <w:r w:rsidR="00380A8E" w:rsidRPr="00380A8E">
        <w:rPr>
          <w:noProof/>
        </w:rPr>
        <w:t>16</w:t>
      </w:r>
      <w:r w:rsidR="00715698" w:rsidRPr="00715698">
        <w:fldChar w:fldCharType="end"/>
      </w:r>
      <w:r>
        <w:t>:</w:t>
      </w:r>
    </w:p>
    <w:tbl>
      <w:tblPr>
        <w:tblStyle w:val="Tabelacomgrade"/>
        <w:tblW w:w="0" w:type="auto"/>
        <w:tblCellMar>
          <w:left w:w="0" w:type="dxa"/>
          <w:right w:w="0" w:type="dxa"/>
        </w:tblCellMar>
        <w:tblLook w:val="04A0" w:firstRow="1" w:lastRow="0" w:firstColumn="1" w:lastColumn="0" w:noHBand="0" w:noVBand="1"/>
      </w:tblPr>
      <w:tblGrid>
        <w:gridCol w:w="8395"/>
        <w:gridCol w:w="676"/>
      </w:tblGrid>
      <w:tr w:rsidR="00715698" w:rsidTr="00715698">
        <w:tc>
          <w:tcPr>
            <w:tcW w:w="8395" w:type="dxa"/>
            <w:tcBorders>
              <w:top w:val="nil"/>
              <w:left w:val="nil"/>
              <w:bottom w:val="nil"/>
              <w:right w:val="nil"/>
            </w:tcBorders>
            <w:vAlign w:val="center"/>
          </w:tcPr>
          <w:p w:rsidR="00715698" w:rsidRPr="0022508E" w:rsidRDefault="00D83C6E" w:rsidP="00653F59">
            <w:pPr>
              <w:spacing w:after="0" w:line="240" w:lineRule="auto"/>
              <w:rPr>
                <w:rFonts w:ascii="Cambria Math" w:hAnsi="Cambria Math"/>
              </w:rPr>
            </w:pPr>
            <m:oMathPara>
              <m:oMath>
                <m:f>
                  <m:fPr>
                    <m:ctrlPr>
                      <w:rPr>
                        <w:rFonts w:ascii="Cambria Math" w:hAnsi="Cambria Math"/>
                      </w:rPr>
                    </m:ctrlPr>
                  </m:fPr>
                  <m:num>
                    <m:r>
                      <m:rPr>
                        <m:sty m:val="p"/>
                      </m:rPr>
                      <w:rPr>
                        <w:rFonts w:ascii="Cambria Math" w:hAnsi="Cambria Math"/>
                      </w:rPr>
                      <m:t>∆</m:t>
                    </m:r>
                    <m:r>
                      <w:rPr>
                        <w:rFonts w:ascii="Cambria Math" w:hAnsi="Cambria Math"/>
                      </w:rPr>
                      <m:t>p</m:t>
                    </m:r>
                  </m:num>
                  <m:den>
                    <m:r>
                      <w:rPr>
                        <w:rFonts w:ascii="Cambria Math" w:hAnsi="Cambria Math"/>
                      </w:rPr>
                      <m:t>ρ</m:t>
                    </m:r>
                    <m:acc>
                      <m:accPr>
                        <m:chr m:val="̅"/>
                        <m:ctrlPr>
                          <w:rPr>
                            <w:rFonts w:ascii="Cambria Math" w:hAnsi="Cambria Math"/>
                          </w:rPr>
                        </m:ctrlPr>
                      </m:accPr>
                      <m:e>
                        <m:r>
                          <w:rPr>
                            <w:rFonts w:ascii="Cambria Math" w:hAnsi="Cambria Math"/>
                          </w:rPr>
                          <m:t>V</m:t>
                        </m:r>
                      </m:e>
                    </m:acc>
                    <m:r>
                      <m:rPr>
                        <m:sty m:val="p"/>
                      </m:rPr>
                      <w:rPr>
                        <w:rFonts w:ascii="Cambria Math" w:hAnsi="Cambria Math"/>
                      </w:rPr>
                      <m:t>²</m:t>
                    </m:r>
                  </m:den>
                </m:f>
                <m:r>
                  <m:rPr>
                    <m:sty m:val="p"/>
                  </m:rPr>
                  <w:rPr>
                    <w:rFonts w:ascii="Cambria Math" w:hAnsi="Cambria Math"/>
                  </w:rPr>
                  <m:t xml:space="preserve"> = </m:t>
                </m:r>
                <m:r>
                  <w:rPr>
                    <w:rFonts w:ascii="Cambria Math" w:hAnsi="Cambria Math"/>
                  </w:rPr>
                  <m:t>f</m:t>
                </m:r>
                <m:d>
                  <m:dPr>
                    <m:ctrlPr>
                      <w:rPr>
                        <w:rFonts w:ascii="Cambria Math" w:hAnsi="Cambria Math"/>
                      </w:rPr>
                    </m:ctrlPr>
                  </m:dPr>
                  <m:e>
                    <m:f>
                      <m:fPr>
                        <m:ctrlPr>
                          <w:rPr>
                            <w:rFonts w:ascii="Cambria Math" w:hAnsi="Cambria Math"/>
                          </w:rPr>
                        </m:ctrlPr>
                      </m:fPr>
                      <m:num>
                        <m:r>
                          <w:rPr>
                            <w:rFonts w:ascii="Cambria Math" w:hAnsi="Cambria Math"/>
                          </w:rPr>
                          <m:t>η</m:t>
                        </m:r>
                      </m:num>
                      <m:den>
                        <m:r>
                          <w:rPr>
                            <w:rFonts w:ascii="Cambria Math" w:hAnsi="Cambria Math"/>
                          </w:rPr>
                          <m:t>ρ</m:t>
                        </m:r>
                        <m:acc>
                          <m:accPr>
                            <m:chr m:val="̅"/>
                            <m:ctrlPr>
                              <w:rPr>
                                <w:rFonts w:ascii="Cambria Math" w:hAnsi="Cambria Math"/>
                              </w:rPr>
                            </m:ctrlPr>
                          </m:accPr>
                          <m:e>
                            <m:r>
                              <w:rPr>
                                <w:rFonts w:ascii="Cambria Math" w:hAnsi="Cambria Math"/>
                              </w:rPr>
                              <m:t>V</m:t>
                            </m:r>
                          </m:e>
                        </m:acc>
                        <m:r>
                          <w:rPr>
                            <w:rFonts w:ascii="Cambria Math" w:hAnsi="Cambria Math"/>
                          </w:rPr>
                          <m:t>D</m:t>
                        </m:r>
                      </m:den>
                    </m:f>
                    <m:r>
                      <m:rPr>
                        <m:sty m:val="p"/>
                      </m:rPr>
                      <w:rPr>
                        <w:rFonts w:ascii="Cambria Math" w:hAnsi="Cambria Math"/>
                      </w:rPr>
                      <m:t xml:space="preserve">, </m:t>
                    </m:r>
                    <m:f>
                      <m:fPr>
                        <m:ctrlPr>
                          <w:rPr>
                            <w:rFonts w:ascii="Cambria Math" w:hAnsi="Cambria Math"/>
                          </w:rPr>
                        </m:ctrlPr>
                      </m:fPr>
                      <m:num>
                        <m:r>
                          <w:rPr>
                            <w:rFonts w:ascii="Cambria Math" w:hAnsi="Cambria Math"/>
                          </w:rPr>
                          <m:t>L</m:t>
                        </m:r>
                      </m:num>
                      <m:den>
                        <m:r>
                          <w:rPr>
                            <w:rFonts w:ascii="Cambria Math" w:hAnsi="Cambria Math"/>
                          </w:rPr>
                          <m:t>D</m:t>
                        </m:r>
                      </m:den>
                    </m:f>
                    <m:r>
                      <m:rPr>
                        <m:sty m:val="p"/>
                      </m:rPr>
                      <w:rPr>
                        <w:rFonts w:ascii="Cambria Math" w:hAnsi="Cambria Math"/>
                      </w:rPr>
                      <m:t>,</m:t>
                    </m:r>
                    <m:f>
                      <m:fPr>
                        <m:ctrlPr>
                          <w:rPr>
                            <w:rFonts w:ascii="Cambria Math" w:hAnsi="Cambria Math"/>
                          </w:rPr>
                        </m:ctrlPr>
                      </m:fPr>
                      <m:num>
                        <m:r>
                          <w:rPr>
                            <w:rFonts w:ascii="Cambria Math" w:hAnsi="Cambria Math"/>
                          </w:rPr>
                          <m:t>e</m:t>
                        </m:r>
                      </m:num>
                      <m:den>
                        <m:r>
                          <w:rPr>
                            <w:rFonts w:ascii="Cambria Math" w:hAnsi="Cambria Math"/>
                          </w:rPr>
                          <m:t>D</m:t>
                        </m:r>
                      </m:den>
                    </m:f>
                  </m:e>
                </m:d>
              </m:oMath>
            </m:oMathPara>
          </w:p>
        </w:tc>
        <w:tc>
          <w:tcPr>
            <w:tcW w:w="676" w:type="dxa"/>
            <w:tcBorders>
              <w:top w:val="nil"/>
              <w:left w:val="nil"/>
              <w:bottom w:val="nil"/>
              <w:right w:val="nil"/>
            </w:tcBorders>
            <w:vAlign w:val="center"/>
          </w:tcPr>
          <w:p w:rsidR="00715698" w:rsidRDefault="00715698" w:rsidP="00715698">
            <w:pPr>
              <w:keepNext/>
              <w:spacing w:after="0" w:line="240" w:lineRule="auto"/>
              <w:rPr>
                <w:rFonts w:cs="Arial"/>
                <w:szCs w:val="24"/>
              </w:rPr>
            </w:pPr>
            <w:r>
              <w:rPr>
                <w:rFonts w:cs="Arial"/>
                <w:szCs w:val="24"/>
              </w:rPr>
              <w:t>(16)</w:t>
            </w:r>
          </w:p>
        </w:tc>
      </w:tr>
    </w:tbl>
    <w:p w:rsidR="00BD16CD" w:rsidRPr="00715698" w:rsidRDefault="00715698" w:rsidP="00715698">
      <w:pPr>
        <w:pStyle w:val="Legenda"/>
        <w:rPr>
          <w:b/>
          <w:color w:val="FFFFFF" w:themeColor="background1"/>
        </w:rPr>
      </w:pPr>
      <w:bookmarkStart w:id="44" w:name="_Ref488098024"/>
      <w:r w:rsidRPr="00715698">
        <w:rPr>
          <w:color w:val="FFFFFF" w:themeColor="background1"/>
        </w:rPr>
        <w:t xml:space="preserve">Equação </w:t>
      </w:r>
      <w:r w:rsidR="001144AF">
        <w:rPr>
          <w:color w:val="FFFFFF" w:themeColor="background1"/>
        </w:rPr>
        <w:fldChar w:fldCharType="begin"/>
      </w:r>
      <w:r w:rsidR="001144AF">
        <w:rPr>
          <w:color w:val="FFFFFF" w:themeColor="background1"/>
        </w:rPr>
        <w:instrText xml:space="preserve"> SEQ Equação \* ARABIC </w:instrText>
      </w:r>
      <w:r w:rsidR="001144AF">
        <w:rPr>
          <w:color w:val="FFFFFF" w:themeColor="background1"/>
        </w:rPr>
        <w:fldChar w:fldCharType="separate"/>
      </w:r>
      <w:r w:rsidR="001144AF">
        <w:rPr>
          <w:noProof/>
          <w:color w:val="FFFFFF" w:themeColor="background1"/>
        </w:rPr>
        <w:t>16</w:t>
      </w:r>
      <w:r w:rsidR="001144AF">
        <w:rPr>
          <w:color w:val="FFFFFF" w:themeColor="background1"/>
        </w:rPr>
        <w:fldChar w:fldCharType="end"/>
      </w:r>
      <w:bookmarkEnd w:id="44"/>
    </w:p>
    <w:p w:rsidR="00BD16CD" w:rsidRPr="005019CD" w:rsidRDefault="00BD16CD" w:rsidP="0022508E">
      <w:r>
        <w:t>A partir da manipulação dos parâmetros adimensionais obté</w:t>
      </w:r>
      <w:r w:rsidRPr="002B409D">
        <w:t>m-se a</w:t>
      </w:r>
      <w:r>
        <w:t xml:space="preserve"> expressão do fator de atrito, f, como função dos parâ</w:t>
      </w:r>
      <w:r w:rsidRPr="002B409D">
        <w:t>metros adimensionais de Reynolds, Re, e d</w:t>
      </w:r>
      <w:r>
        <w:t>a rugosidade relativa, conforme</w:t>
      </w:r>
      <w:r w:rsidRPr="005019CD">
        <w:t xml:space="preserve"> a </w:t>
      </w:r>
      <w:r w:rsidR="00715698" w:rsidRPr="005019CD">
        <w:fldChar w:fldCharType="begin"/>
      </w:r>
      <w:r w:rsidR="00715698" w:rsidRPr="005019CD">
        <w:instrText xml:space="preserve"> REF _Ref488098511 \h </w:instrText>
      </w:r>
      <w:r w:rsidR="005019CD" w:rsidRPr="005019CD">
        <w:instrText xml:space="preserve"> \* MERGEFORMAT </w:instrText>
      </w:r>
      <w:r w:rsidR="00715698" w:rsidRPr="005019CD">
        <w:fldChar w:fldCharType="separate"/>
      </w:r>
      <w:r w:rsidR="00380A8E" w:rsidRPr="00380A8E">
        <w:t xml:space="preserve">Equação </w:t>
      </w:r>
      <w:r w:rsidR="00380A8E" w:rsidRPr="00380A8E">
        <w:rPr>
          <w:noProof/>
        </w:rPr>
        <w:t>17</w:t>
      </w:r>
      <w:r w:rsidR="00715698" w:rsidRPr="005019CD">
        <w:fldChar w:fldCharType="end"/>
      </w:r>
      <w:r w:rsidRPr="005019CD">
        <w:t>.</w:t>
      </w:r>
    </w:p>
    <w:tbl>
      <w:tblPr>
        <w:tblStyle w:val="Tabelacomgrade"/>
        <w:tblW w:w="0" w:type="auto"/>
        <w:tblCellMar>
          <w:left w:w="0" w:type="dxa"/>
          <w:right w:w="0" w:type="dxa"/>
        </w:tblCellMar>
        <w:tblLook w:val="04A0" w:firstRow="1" w:lastRow="0" w:firstColumn="1" w:lastColumn="0" w:noHBand="0" w:noVBand="1"/>
      </w:tblPr>
      <w:tblGrid>
        <w:gridCol w:w="8395"/>
        <w:gridCol w:w="676"/>
      </w:tblGrid>
      <w:tr w:rsidR="00715698" w:rsidRPr="005019CD" w:rsidTr="00715698">
        <w:tc>
          <w:tcPr>
            <w:tcW w:w="8395" w:type="dxa"/>
            <w:tcBorders>
              <w:top w:val="nil"/>
              <w:left w:val="nil"/>
              <w:bottom w:val="nil"/>
              <w:right w:val="nil"/>
            </w:tcBorders>
            <w:vAlign w:val="center"/>
          </w:tcPr>
          <w:p w:rsidR="00715698" w:rsidRPr="0022508E" w:rsidRDefault="005019CD" w:rsidP="0022508E">
            <w:pPr>
              <w:spacing w:after="0" w:line="240" w:lineRule="auto"/>
              <w:rPr>
                <w:rFonts w:ascii="Cambria Math" w:hAnsi="Cambria Math"/>
              </w:rPr>
            </w:pPr>
            <m:oMathPara>
              <m:oMath>
                <m:r>
                  <w:rPr>
                    <w:rFonts w:ascii="Cambria Math" w:hAnsi="Cambria Math"/>
                  </w:rPr>
                  <w:lastRenderedPageBreak/>
                  <m:t>f</m:t>
                </m:r>
                <m:d>
                  <m:dPr>
                    <m:ctrlPr>
                      <w:rPr>
                        <w:rFonts w:ascii="Cambria Math" w:hAnsi="Cambria Math"/>
                      </w:rPr>
                    </m:ctrlPr>
                  </m:dPr>
                  <m:e>
                    <m:r>
                      <w:rPr>
                        <w:rFonts w:ascii="Cambria Math" w:hAnsi="Cambria Math"/>
                      </w:rPr>
                      <m:t>Re</m:t>
                    </m:r>
                    <m:r>
                      <m:rPr>
                        <m:sty m:val="p"/>
                      </m:rPr>
                      <w:rPr>
                        <w:rFonts w:ascii="Cambria Math" w:hAnsi="Cambria Math"/>
                      </w:rPr>
                      <m:t xml:space="preserve">, </m:t>
                    </m:r>
                    <m:r>
                      <w:rPr>
                        <w:rFonts w:ascii="Cambria Math" w:hAnsi="Cambria Math"/>
                      </w:rPr>
                      <m:t>ε</m:t>
                    </m:r>
                  </m:e>
                </m:d>
                <m:r>
                  <m:rPr>
                    <m:sty m:val="p"/>
                  </m:rPr>
                  <w:rPr>
                    <w:rFonts w:ascii="Cambria Math" w:hAnsi="Cambria Math"/>
                  </w:rPr>
                  <m:t>=</m:t>
                </m:r>
                <m:f>
                  <m:fPr>
                    <m:ctrlPr>
                      <w:rPr>
                        <w:rFonts w:ascii="Cambria Math" w:hAnsi="Cambria Math"/>
                      </w:rPr>
                    </m:ctrlPr>
                  </m:fPr>
                  <m:num>
                    <m:r>
                      <m:rPr>
                        <m:sty m:val="p"/>
                      </m:rPr>
                      <w:rPr>
                        <w:rFonts w:ascii="Cambria Math" w:hAnsi="Cambria Math"/>
                      </w:rPr>
                      <m:t>2</m:t>
                    </m:r>
                    <m:r>
                      <w:rPr>
                        <w:rFonts w:ascii="Cambria Math" w:hAnsi="Cambria Math"/>
                      </w:rPr>
                      <m:t>D</m:t>
                    </m:r>
                    <m:r>
                      <m:rPr>
                        <m:sty m:val="p"/>
                      </m:rPr>
                      <w:rPr>
                        <w:rFonts w:ascii="Cambria Math" w:hAnsi="Cambria Math"/>
                      </w:rPr>
                      <m:t>(</m:t>
                    </m:r>
                    <m:f>
                      <m:fPr>
                        <m:type m:val="lin"/>
                        <m:ctrlPr>
                          <w:rPr>
                            <w:rFonts w:ascii="Cambria Math" w:hAnsi="Cambria Math"/>
                          </w:rPr>
                        </m:ctrlPr>
                      </m:fPr>
                      <m:num>
                        <m:r>
                          <m:rPr>
                            <m:sty m:val="p"/>
                          </m:rPr>
                          <w:rPr>
                            <w:rFonts w:ascii="Cambria Math" w:hAnsi="Cambria Math"/>
                          </w:rPr>
                          <m:t>∆</m:t>
                        </m:r>
                        <m:r>
                          <w:rPr>
                            <w:rFonts w:ascii="Cambria Math" w:hAnsi="Cambria Math"/>
                          </w:rPr>
                          <m:t>p</m:t>
                        </m:r>
                      </m:num>
                      <m:den>
                        <m:r>
                          <w:rPr>
                            <w:rFonts w:ascii="Cambria Math" w:hAnsi="Cambria Math"/>
                          </w:rPr>
                          <m:t>L</m:t>
                        </m:r>
                      </m:den>
                    </m:f>
                    <m:r>
                      <m:rPr>
                        <m:sty m:val="p"/>
                      </m:rPr>
                      <w:rPr>
                        <w:rFonts w:ascii="Cambria Math" w:hAnsi="Cambria Math"/>
                      </w:rPr>
                      <m:t>)</m:t>
                    </m:r>
                  </m:num>
                  <m:den>
                    <m:r>
                      <w:rPr>
                        <w:rFonts w:ascii="Cambria Math" w:hAnsi="Cambria Math"/>
                      </w:rPr>
                      <m:t>ρ</m:t>
                    </m:r>
                    <m:acc>
                      <m:accPr>
                        <m:chr m:val="̅"/>
                        <m:ctrlPr>
                          <w:rPr>
                            <w:rFonts w:ascii="Cambria Math" w:hAnsi="Cambria Math"/>
                          </w:rPr>
                        </m:ctrlPr>
                      </m:accPr>
                      <m:e>
                        <m:r>
                          <w:rPr>
                            <w:rFonts w:ascii="Cambria Math" w:hAnsi="Cambria Math"/>
                          </w:rPr>
                          <m:t>V</m:t>
                        </m:r>
                      </m:e>
                    </m:acc>
                    <m:r>
                      <m:rPr>
                        <m:sty m:val="p"/>
                      </m:rPr>
                      <w:rPr>
                        <w:rFonts w:ascii="Cambria Math" w:hAnsi="Cambria Math"/>
                      </w:rPr>
                      <m:t>²</m:t>
                    </m:r>
                  </m:den>
                </m:f>
              </m:oMath>
            </m:oMathPara>
          </w:p>
        </w:tc>
        <w:tc>
          <w:tcPr>
            <w:tcW w:w="676" w:type="dxa"/>
            <w:tcBorders>
              <w:top w:val="nil"/>
              <w:left w:val="nil"/>
              <w:bottom w:val="nil"/>
              <w:right w:val="nil"/>
            </w:tcBorders>
            <w:vAlign w:val="center"/>
          </w:tcPr>
          <w:p w:rsidR="00715698" w:rsidRPr="005019CD" w:rsidRDefault="00715698" w:rsidP="0022508E">
            <w:pPr>
              <w:rPr>
                <w:rFonts w:cs="Arial"/>
                <w:szCs w:val="24"/>
              </w:rPr>
            </w:pPr>
            <w:r w:rsidRPr="005019CD">
              <w:rPr>
                <w:rFonts w:cs="Arial"/>
                <w:szCs w:val="24"/>
              </w:rPr>
              <w:t>(17)</w:t>
            </w:r>
          </w:p>
        </w:tc>
      </w:tr>
    </w:tbl>
    <w:p w:rsidR="00715698" w:rsidRPr="005019CD" w:rsidRDefault="00715698" w:rsidP="00715698">
      <w:pPr>
        <w:pStyle w:val="Legenda"/>
        <w:rPr>
          <w:color w:val="FFFFFF" w:themeColor="background1"/>
        </w:rPr>
      </w:pPr>
      <w:bookmarkStart w:id="45" w:name="_Ref488098511"/>
      <w:r w:rsidRPr="005019CD">
        <w:rPr>
          <w:color w:val="FFFFFF" w:themeColor="background1"/>
        </w:rPr>
        <w:t xml:space="preserve">Equação </w:t>
      </w:r>
      <w:r w:rsidR="001144AF">
        <w:rPr>
          <w:color w:val="FFFFFF" w:themeColor="background1"/>
        </w:rPr>
        <w:fldChar w:fldCharType="begin"/>
      </w:r>
      <w:r w:rsidR="001144AF">
        <w:rPr>
          <w:color w:val="FFFFFF" w:themeColor="background1"/>
        </w:rPr>
        <w:instrText xml:space="preserve"> SEQ Equação \* ARABIC </w:instrText>
      </w:r>
      <w:r w:rsidR="001144AF">
        <w:rPr>
          <w:color w:val="FFFFFF" w:themeColor="background1"/>
        </w:rPr>
        <w:fldChar w:fldCharType="separate"/>
      </w:r>
      <w:r w:rsidR="001144AF">
        <w:rPr>
          <w:noProof/>
          <w:color w:val="FFFFFF" w:themeColor="background1"/>
        </w:rPr>
        <w:t>17</w:t>
      </w:r>
      <w:r w:rsidR="001144AF">
        <w:rPr>
          <w:color w:val="FFFFFF" w:themeColor="background1"/>
        </w:rPr>
        <w:fldChar w:fldCharType="end"/>
      </w:r>
      <w:bookmarkEnd w:id="45"/>
    </w:p>
    <w:p w:rsidR="00BD16CD" w:rsidRPr="005019CD" w:rsidRDefault="00BD16CD" w:rsidP="0022508E">
      <w:r w:rsidRPr="005019CD">
        <w:t xml:space="preserve">Ou em termos de vazão volumétrica demonstrado na </w:t>
      </w:r>
      <w:r w:rsidR="00715698" w:rsidRPr="005019CD">
        <w:fldChar w:fldCharType="begin"/>
      </w:r>
      <w:r w:rsidR="00715698" w:rsidRPr="005019CD">
        <w:instrText xml:space="preserve"> REF _Ref488098501 \h </w:instrText>
      </w:r>
      <w:r w:rsidR="005019CD" w:rsidRPr="005019CD">
        <w:instrText xml:space="preserve"> \* MERGEFORMAT </w:instrText>
      </w:r>
      <w:r w:rsidR="00715698" w:rsidRPr="005019CD">
        <w:fldChar w:fldCharType="separate"/>
      </w:r>
      <w:r w:rsidR="00380A8E" w:rsidRPr="00380A8E">
        <w:t xml:space="preserve">Equação </w:t>
      </w:r>
      <w:r w:rsidR="00380A8E" w:rsidRPr="00380A8E">
        <w:rPr>
          <w:noProof/>
        </w:rPr>
        <w:t>18</w:t>
      </w:r>
      <w:r w:rsidR="00715698" w:rsidRPr="005019CD">
        <w:fldChar w:fldCharType="end"/>
      </w:r>
      <w:r w:rsidRPr="005019CD">
        <w:t>:</w:t>
      </w:r>
    </w:p>
    <w:tbl>
      <w:tblPr>
        <w:tblStyle w:val="Tabelacomgrade"/>
        <w:tblW w:w="0" w:type="auto"/>
        <w:tblCellMar>
          <w:left w:w="0" w:type="dxa"/>
          <w:right w:w="0" w:type="dxa"/>
        </w:tblCellMar>
        <w:tblLook w:val="04A0" w:firstRow="1" w:lastRow="0" w:firstColumn="1" w:lastColumn="0" w:noHBand="0" w:noVBand="1"/>
      </w:tblPr>
      <w:tblGrid>
        <w:gridCol w:w="8395"/>
        <w:gridCol w:w="676"/>
      </w:tblGrid>
      <w:tr w:rsidR="00715698" w:rsidRPr="0022508E" w:rsidTr="00715698">
        <w:tc>
          <w:tcPr>
            <w:tcW w:w="8395" w:type="dxa"/>
            <w:tcBorders>
              <w:top w:val="nil"/>
              <w:left w:val="nil"/>
              <w:bottom w:val="nil"/>
              <w:right w:val="nil"/>
            </w:tcBorders>
            <w:vAlign w:val="center"/>
          </w:tcPr>
          <w:p w:rsidR="00715698" w:rsidRPr="0022508E" w:rsidRDefault="0022508E" w:rsidP="0022508E">
            <w:pPr>
              <w:spacing w:after="0" w:line="240" w:lineRule="auto"/>
              <w:rPr>
                <w:rFonts w:ascii="Cambria Math" w:hAnsi="Cambria Math"/>
                <w:i/>
                <w:iCs/>
              </w:rPr>
            </w:pPr>
            <m:oMathPara>
              <m:oMath>
                <m:r>
                  <w:rPr>
                    <w:rFonts w:ascii="Cambria Math" w:hAnsi="Cambria Math"/>
                  </w:rPr>
                  <m:t>f=</m:t>
                </m:r>
                <m:f>
                  <m:fPr>
                    <m:ctrlPr>
                      <w:rPr>
                        <w:rFonts w:ascii="Cambria Math" w:hAnsi="Cambria Math"/>
                        <w:i/>
                        <w:iCs/>
                      </w:rPr>
                    </m:ctrlPr>
                  </m:fPr>
                  <m:num>
                    <m:sSup>
                      <m:sSupPr>
                        <m:ctrlPr>
                          <w:rPr>
                            <w:rFonts w:ascii="Cambria Math" w:hAnsi="Cambria Math"/>
                            <w:i/>
                            <w:iCs/>
                          </w:rPr>
                        </m:ctrlPr>
                      </m:sSupPr>
                      <m:e>
                        <m:r>
                          <w:rPr>
                            <w:rFonts w:ascii="Cambria Math" w:hAnsi="Cambria Math"/>
                          </w:rPr>
                          <m:t>D</m:t>
                        </m:r>
                      </m:e>
                      <m:sup>
                        <m:r>
                          <w:rPr>
                            <w:rFonts w:ascii="Cambria Math" w:hAnsi="Cambria Math"/>
                          </w:rPr>
                          <m:t>5</m:t>
                        </m:r>
                      </m:sup>
                    </m:sSup>
                    <m:d>
                      <m:dPr>
                        <m:ctrlPr>
                          <w:rPr>
                            <w:rFonts w:ascii="Cambria Math" w:hAnsi="Cambria Math"/>
                            <w:i/>
                            <w:iCs/>
                          </w:rPr>
                        </m:ctrlPr>
                      </m:dPr>
                      <m:e>
                        <m:f>
                          <m:fPr>
                            <m:type m:val="lin"/>
                            <m:ctrlPr>
                              <w:rPr>
                                <w:rFonts w:ascii="Cambria Math" w:hAnsi="Cambria Math"/>
                                <w:i/>
                                <w:iCs/>
                              </w:rPr>
                            </m:ctrlPr>
                          </m:fPr>
                          <m:num>
                            <m:r>
                              <w:rPr>
                                <w:rFonts w:ascii="Cambria Math" w:hAnsi="Cambria Math"/>
                              </w:rPr>
                              <m:t>∆p</m:t>
                            </m:r>
                          </m:num>
                          <m:den>
                            <m:r>
                              <w:rPr>
                                <w:rFonts w:ascii="Cambria Math" w:hAnsi="Cambria Math"/>
                              </w:rPr>
                              <m:t>L</m:t>
                            </m:r>
                          </m:den>
                        </m:f>
                      </m:e>
                    </m:d>
                    <m:sSup>
                      <m:sSupPr>
                        <m:ctrlPr>
                          <w:rPr>
                            <w:rFonts w:ascii="Cambria Math" w:hAnsi="Cambria Math"/>
                            <w:i/>
                            <w:iCs/>
                          </w:rPr>
                        </m:ctrlPr>
                      </m:sSupPr>
                      <m:e>
                        <m:r>
                          <w:rPr>
                            <w:rFonts w:ascii="Cambria Math" w:hAnsi="Cambria Math"/>
                          </w:rPr>
                          <m:t>π</m:t>
                        </m:r>
                      </m:e>
                      <m:sup>
                        <m:r>
                          <w:rPr>
                            <w:rFonts w:ascii="Cambria Math" w:hAnsi="Cambria Math"/>
                          </w:rPr>
                          <m:t>2</m:t>
                        </m:r>
                      </m:sup>
                    </m:sSup>
                  </m:num>
                  <m:den>
                    <m:r>
                      <w:rPr>
                        <w:rFonts w:ascii="Cambria Math" w:hAnsi="Cambria Math"/>
                      </w:rPr>
                      <m:t>8ρ</m:t>
                    </m:r>
                    <m:sSup>
                      <m:sSupPr>
                        <m:ctrlPr>
                          <w:rPr>
                            <w:rFonts w:ascii="Cambria Math" w:hAnsi="Cambria Math"/>
                            <w:i/>
                            <w:iCs/>
                          </w:rPr>
                        </m:ctrlPr>
                      </m:sSupPr>
                      <m:e>
                        <m:r>
                          <w:rPr>
                            <w:rFonts w:ascii="Cambria Math" w:hAnsi="Cambria Math"/>
                          </w:rPr>
                          <m:t>Q</m:t>
                        </m:r>
                      </m:e>
                      <m:sup>
                        <m:r>
                          <w:rPr>
                            <w:rFonts w:ascii="Cambria Math" w:hAnsi="Cambria Math"/>
                          </w:rPr>
                          <m:t>2</m:t>
                        </m:r>
                      </m:sup>
                    </m:sSup>
                  </m:den>
                </m:f>
              </m:oMath>
            </m:oMathPara>
          </w:p>
        </w:tc>
        <w:tc>
          <w:tcPr>
            <w:tcW w:w="676" w:type="dxa"/>
            <w:tcBorders>
              <w:top w:val="nil"/>
              <w:left w:val="nil"/>
              <w:bottom w:val="nil"/>
              <w:right w:val="nil"/>
            </w:tcBorders>
            <w:vAlign w:val="center"/>
          </w:tcPr>
          <w:p w:rsidR="00715698" w:rsidRPr="0022508E" w:rsidRDefault="00715698" w:rsidP="0022508E">
            <w:pPr>
              <w:spacing w:after="0" w:line="240" w:lineRule="auto"/>
              <w:rPr>
                <w:rFonts w:ascii="Cambria Math" w:hAnsi="Cambria Math"/>
                <w:iCs/>
              </w:rPr>
            </w:pPr>
            <w:r w:rsidRPr="0022508E">
              <w:rPr>
                <w:rFonts w:ascii="Cambria Math" w:hAnsi="Cambria Math"/>
                <w:iCs/>
              </w:rPr>
              <w:t>(18)</w:t>
            </w:r>
          </w:p>
        </w:tc>
      </w:tr>
    </w:tbl>
    <w:p w:rsidR="00715698" w:rsidRPr="005019CD" w:rsidRDefault="00715698" w:rsidP="00715698">
      <w:pPr>
        <w:pStyle w:val="Legenda"/>
        <w:rPr>
          <w:color w:val="FFFFFF" w:themeColor="background1"/>
        </w:rPr>
      </w:pPr>
      <w:bookmarkStart w:id="46" w:name="_Ref488098501"/>
      <w:r w:rsidRPr="005019CD">
        <w:rPr>
          <w:color w:val="FFFFFF" w:themeColor="background1"/>
        </w:rPr>
        <w:t xml:space="preserve">Equação </w:t>
      </w:r>
      <w:r w:rsidR="001144AF">
        <w:rPr>
          <w:color w:val="FFFFFF" w:themeColor="background1"/>
        </w:rPr>
        <w:fldChar w:fldCharType="begin"/>
      </w:r>
      <w:r w:rsidR="001144AF">
        <w:rPr>
          <w:color w:val="FFFFFF" w:themeColor="background1"/>
        </w:rPr>
        <w:instrText xml:space="preserve"> SEQ Equação \* ARABIC </w:instrText>
      </w:r>
      <w:r w:rsidR="001144AF">
        <w:rPr>
          <w:color w:val="FFFFFF" w:themeColor="background1"/>
        </w:rPr>
        <w:fldChar w:fldCharType="separate"/>
      </w:r>
      <w:r w:rsidR="001144AF">
        <w:rPr>
          <w:noProof/>
          <w:color w:val="FFFFFF" w:themeColor="background1"/>
        </w:rPr>
        <w:t>18</w:t>
      </w:r>
      <w:r w:rsidR="001144AF">
        <w:rPr>
          <w:color w:val="FFFFFF" w:themeColor="background1"/>
        </w:rPr>
        <w:fldChar w:fldCharType="end"/>
      </w:r>
      <w:bookmarkEnd w:id="46"/>
    </w:p>
    <w:p w:rsidR="00BD16CD" w:rsidRPr="005019CD" w:rsidRDefault="00BD16CD" w:rsidP="0022508E">
      <w:r w:rsidRPr="005019CD">
        <w:t xml:space="preserve">Em que </w:t>
      </w:r>
      <m:oMath>
        <m:r>
          <m:rPr>
            <m:sty m:val="bi"/>
          </m:rPr>
          <w:rPr>
            <w:rFonts w:ascii="Cambria Math" w:hAnsi="Cambria Math"/>
          </w:rPr>
          <m:t>ε</m:t>
        </m:r>
      </m:oMath>
      <w:r w:rsidRPr="005019CD">
        <w:t xml:space="preserve"> é definida a partir da </w:t>
      </w:r>
      <w:r w:rsidR="00715698" w:rsidRPr="005019CD">
        <w:fldChar w:fldCharType="begin"/>
      </w:r>
      <w:r w:rsidR="00715698" w:rsidRPr="005019CD">
        <w:instrText xml:space="preserve"> REF _Ref488098487 \h </w:instrText>
      </w:r>
      <w:r w:rsidR="005019CD" w:rsidRPr="005019CD">
        <w:instrText xml:space="preserve"> \* MERGEFORMAT </w:instrText>
      </w:r>
      <w:r w:rsidR="00715698" w:rsidRPr="005019CD">
        <w:fldChar w:fldCharType="separate"/>
      </w:r>
      <w:r w:rsidR="00380A8E" w:rsidRPr="00380A8E">
        <w:t xml:space="preserve">Equação </w:t>
      </w:r>
      <w:r w:rsidR="00380A8E" w:rsidRPr="00380A8E">
        <w:rPr>
          <w:noProof/>
        </w:rPr>
        <w:t>19</w:t>
      </w:r>
      <w:r w:rsidR="00715698" w:rsidRPr="005019CD">
        <w:fldChar w:fldCharType="end"/>
      </w:r>
      <w:r w:rsidRPr="005019CD">
        <w:t>:</w:t>
      </w:r>
    </w:p>
    <w:tbl>
      <w:tblPr>
        <w:tblStyle w:val="Tabelacomgrade"/>
        <w:tblW w:w="0" w:type="auto"/>
        <w:tblCellMar>
          <w:left w:w="0" w:type="dxa"/>
          <w:right w:w="0" w:type="dxa"/>
        </w:tblCellMar>
        <w:tblLook w:val="04A0" w:firstRow="1" w:lastRow="0" w:firstColumn="1" w:lastColumn="0" w:noHBand="0" w:noVBand="1"/>
      </w:tblPr>
      <w:tblGrid>
        <w:gridCol w:w="8395"/>
        <w:gridCol w:w="676"/>
      </w:tblGrid>
      <w:tr w:rsidR="00715698" w:rsidRPr="005019CD" w:rsidTr="00715698">
        <w:tc>
          <w:tcPr>
            <w:tcW w:w="8395" w:type="dxa"/>
            <w:tcBorders>
              <w:top w:val="nil"/>
              <w:left w:val="nil"/>
              <w:bottom w:val="nil"/>
              <w:right w:val="nil"/>
            </w:tcBorders>
            <w:vAlign w:val="center"/>
          </w:tcPr>
          <w:p w:rsidR="00715698" w:rsidRPr="0022508E" w:rsidRDefault="005019CD" w:rsidP="0022508E">
            <w:pPr>
              <w:spacing w:after="0" w:line="240" w:lineRule="auto"/>
              <w:rPr>
                <w:rFonts w:ascii="Cambria Math" w:hAnsi="Cambria Math"/>
                <w:i/>
                <w:iCs/>
              </w:rPr>
            </w:pPr>
            <m:oMathPara>
              <m:oMath>
                <m:r>
                  <w:rPr>
                    <w:rFonts w:ascii="Cambria Math" w:hAnsi="Cambria Math"/>
                  </w:rPr>
                  <m:t>ε=</m:t>
                </m:r>
                <m:f>
                  <m:fPr>
                    <m:ctrlPr>
                      <w:rPr>
                        <w:rFonts w:ascii="Cambria Math" w:hAnsi="Cambria Math"/>
                        <w:i/>
                        <w:iCs/>
                      </w:rPr>
                    </m:ctrlPr>
                  </m:fPr>
                  <m:num>
                    <m:r>
                      <w:rPr>
                        <w:rFonts w:ascii="Cambria Math" w:hAnsi="Cambria Math"/>
                      </w:rPr>
                      <m:t>e</m:t>
                    </m:r>
                  </m:num>
                  <m:den>
                    <m:r>
                      <w:rPr>
                        <w:rFonts w:ascii="Cambria Math" w:hAnsi="Cambria Math"/>
                      </w:rPr>
                      <m:t>D</m:t>
                    </m:r>
                  </m:den>
                </m:f>
              </m:oMath>
            </m:oMathPara>
          </w:p>
        </w:tc>
        <w:tc>
          <w:tcPr>
            <w:tcW w:w="676" w:type="dxa"/>
            <w:tcBorders>
              <w:top w:val="nil"/>
              <w:left w:val="nil"/>
              <w:bottom w:val="nil"/>
              <w:right w:val="nil"/>
            </w:tcBorders>
            <w:vAlign w:val="center"/>
          </w:tcPr>
          <w:p w:rsidR="00715698" w:rsidRPr="005019CD" w:rsidRDefault="00715698" w:rsidP="0022508E">
            <w:pPr>
              <w:rPr>
                <w:rFonts w:cs="Arial"/>
                <w:szCs w:val="24"/>
              </w:rPr>
            </w:pPr>
            <w:r w:rsidRPr="005019CD">
              <w:rPr>
                <w:rFonts w:cs="Arial"/>
                <w:szCs w:val="24"/>
              </w:rPr>
              <w:t>(19)</w:t>
            </w:r>
          </w:p>
        </w:tc>
      </w:tr>
    </w:tbl>
    <w:p w:rsidR="00715698" w:rsidRPr="005019CD" w:rsidRDefault="00715698" w:rsidP="00715698">
      <w:pPr>
        <w:pStyle w:val="Legenda"/>
        <w:rPr>
          <w:color w:val="FFFFFF" w:themeColor="background1"/>
        </w:rPr>
      </w:pPr>
      <w:bookmarkStart w:id="47" w:name="_Ref488098487"/>
      <w:r w:rsidRPr="005019CD">
        <w:rPr>
          <w:color w:val="FFFFFF" w:themeColor="background1"/>
        </w:rPr>
        <w:t xml:space="preserve">Equação </w:t>
      </w:r>
      <w:r w:rsidR="001144AF">
        <w:rPr>
          <w:color w:val="FFFFFF" w:themeColor="background1"/>
        </w:rPr>
        <w:fldChar w:fldCharType="begin"/>
      </w:r>
      <w:r w:rsidR="001144AF">
        <w:rPr>
          <w:color w:val="FFFFFF" w:themeColor="background1"/>
        </w:rPr>
        <w:instrText xml:space="preserve"> SEQ Equação \* ARABIC </w:instrText>
      </w:r>
      <w:r w:rsidR="001144AF">
        <w:rPr>
          <w:color w:val="FFFFFF" w:themeColor="background1"/>
        </w:rPr>
        <w:fldChar w:fldCharType="separate"/>
      </w:r>
      <w:r w:rsidR="001144AF">
        <w:rPr>
          <w:noProof/>
          <w:color w:val="FFFFFF" w:themeColor="background1"/>
        </w:rPr>
        <w:t>19</w:t>
      </w:r>
      <w:r w:rsidR="001144AF">
        <w:rPr>
          <w:color w:val="FFFFFF" w:themeColor="background1"/>
        </w:rPr>
        <w:fldChar w:fldCharType="end"/>
      </w:r>
      <w:bookmarkEnd w:id="47"/>
    </w:p>
    <w:p w:rsidR="00BD16CD" w:rsidRPr="005019CD" w:rsidRDefault="00BD16CD" w:rsidP="0022508E">
      <w:r w:rsidRPr="005019CD">
        <w:t xml:space="preserve">O fator de atrito para um escoamento turbulento de fluidos newtonianos pode ser calculado utilizando correlações experimentais. Para o presente trabalho foi utilizada a correlação de Blasius representada pela </w:t>
      </w:r>
      <w:r w:rsidR="00715698" w:rsidRPr="005019CD">
        <w:fldChar w:fldCharType="begin"/>
      </w:r>
      <w:r w:rsidR="00715698" w:rsidRPr="005019CD">
        <w:instrText xml:space="preserve"> REF _Ref488098475 \h </w:instrText>
      </w:r>
      <w:r w:rsidR="005019CD" w:rsidRPr="005019CD">
        <w:instrText xml:space="preserve"> \* MERGEFORMAT </w:instrText>
      </w:r>
      <w:r w:rsidR="00715698" w:rsidRPr="005019CD">
        <w:fldChar w:fldCharType="separate"/>
      </w:r>
      <w:r w:rsidR="00380A8E" w:rsidRPr="00380A8E">
        <w:t xml:space="preserve">Equação </w:t>
      </w:r>
      <w:r w:rsidR="00380A8E" w:rsidRPr="00380A8E">
        <w:rPr>
          <w:noProof/>
        </w:rPr>
        <w:t>20</w:t>
      </w:r>
      <w:r w:rsidR="00715698" w:rsidRPr="005019CD">
        <w:fldChar w:fldCharType="end"/>
      </w:r>
      <w:r w:rsidRPr="005019CD">
        <w:t>.</w:t>
      </w:r>
    </w:p>
    <w:tbl>
      <w:tblPr>
        <w:tblStyle w:val="Tabelacomgrade"/>
        <w:tblW w:w="0" w:type="auto"/>
        <w:tblCellMar>
          <w:left w:w="0" w:type="dxa"/>
          <w:right w:w="0" w:type="dxa"/>
        </w:tblCellMar>
        <w:tblLook w:val="04A0" w:firstRow="1" w:lastRow="0" w:firstColumn="1" w:lastColumn="0" w:noHBand="0" w:noVBand="1"/>
      </w:tblPr>
      <w:tblGrid>
        <w:gridCol w:w="8395"/>
        <w:gridCol w:w="676"/>
      </w:tblGrid>
      <w:tr w:rsidR="00715698" w:rsidRPr="0022508E" w:rsidTr="00715698">
        <w:tc>
          <w:tcPr>
            <w:tcW w:w="8395" w:type="dxa"/>
            <w:tcBorders>
              <w:top w:val="nil"/>
              <w:left w:val="nil"/>
              <w:bottom w:val="nil"/>
              <w:right w:val="nil"/>
            </w:tcBorders>
            <w:vAlign w:val="center"/>
          </w:tcPr>
          <w:p w:rsidR="00715698" w:rsidRPr="0022508E" w:rsidRDefault="0022508E" w:rsidP="0022508E">
            <w:pPr>
              <w:spacing w:after="0" w:line="240" w:lineRule="auto"/>
              <w:rPr>
                <w:rFonts w:ascii="Cambria Math" w:hAnsi="Cambria Math"/>
                <w:i/>
                <w:iCs/>
              </w:rPr>
            </w:pPr>
            <m:oMathPara>
              <m:oMath>
                <m:r>
                  <w:rPr>
                    <w:rFonts w:ascii="Cambria Math" w:hAnsi="Cambria Math"/>
                  </w:rPr>
                  <m:t>f=0,316×R</m:t>
                </m:r>
                <m:sSup>
                  <m:sSupPr>
                    <m:ctrlPr>
                      <w:rPr>
                        <w:rFonts w:ascii="Cambria Math" w:hAnsi="Cambria Math"/>
                        <w:i/>
                        <w:iCs/>
                      </w:rPr>
                    </m:ctrlPr>
                  </m:sSupPr>
                  <m:e>
                    <m:r>
                      <w:rPr>
                        <w:rFonts w:ascii="Cambria Math" w:hAnsi="Cambria Math"/>
                      </w:rPr>
                      <m:t>e</m:t>
                    </m:r>
                  </m:e>
                  <m:sup>
                    <m:r>
                      <w:rPr>
                        <w:rFonts w:ascii="Cambria Math" w:hAnsi="Cambria Math"/>
                      </w:rPr>
                      <m:t>-0,25</m:t>
                    </m:r>
                  </m:sup>
                </m:sSup>
              </m:oMath>
            </m:oMathPara>
          </w:p>
        </w:tc>
        <w:tc>
          <w:tcPr>
            <w:tcW w:w="676" w:type="dxa"/>
            <w:tcBorders>
              <w:top w:val="nil"/>
              <w:left w:val="nil"/>
              <w:bottom w:val="nil"/>
              <w:right w:val="nil"/>
            </w:tcBorders>
            <w:vAlign w:val="center"/>
          </w:tcPr>
          <w:p w:rsidR="00715698" w:rsidRPr="0022508E" w:rsidRDefault="00715698" w:rsidP="0022508E">
            <w:pPr>
              <w:spacing w:after="0" w:line="240" w:lineRule="auto"/>
              <w:rPr>
                <w:rFonts w:cs="Arial"/>
                <w:iCs/>
              </w:rPr>
            </w:pPr>
            <w:r w:rsidRPr="0022508E">
              <w:rPr>
                <w:rFonts w:cs="Arial"/>
                <w:iCs/>
              </w:rPr>
              <w:t>(20)</w:t>
            </w:r>
          </w:p>
        </w:tc>
      </w:tr>
    </w:tbl>
    <w:p w:rsidR="00715698" w:rsidRPr="005019CD" w:rsidRDefault="00715698" w:rsidP="00715698">
      <w:pPr>
        <w:pStyle w:val="Legenda"/>
        <w:rPr>
          <w:rFonts w:eastAsiaTheme="minorEastAsia"/>
          <w:b/>
          <w:color w:val="FFFFFF" w:themeColor="background1"/>
        </w:rPr>
      </w:pPr>
      <w:bookmarkStart w:id="48" w:name="_Ref488098475"/>
      <w:r w:rsidRPr="005019CD">
        <w:rPr>
          <w:color w:val="FFFFFF" w:themeColor="background1"/>
        </w:rPr>
        <w:t xml:space="preserve">Equação </w:t>
      </w:r>
      <w:r w:rsidR="001144AF">
        <w:rPr>
          <w:color w:val="FFFFFF" w:themeColor="background1"/>
        </w:rPr>
        <w:fldChar w:fldCharType="begin"/>
      </w:r>
      <w:r w:rsidR="001144AF">
        <w:rPr>
          <w:color w:val="FFFFFF" w:themeColor="background1"/>
        </w:rPr>
        <w:instrText xml:space="preserve"> SEQ Equação \* ARABIC </w:instrText>
      </w:r>
      <w:r w:rsidR="001144AF">
        <w:rPr>
          <w:color w:val="FFFFFF" w:themeColor="background1"/>
        </w:rPr>
        <w:fldChar w:fldCharType="separate"/>
      </w:r>
      <w:r w:rsidR="001144AF">
        <w:rPr>
          <w:noProof/>
          <w:color w:val="FFFFFF" w:themeColor="background1"/>
        </w:rPr>
        <w:t>20</w:t>
      </w:r>
      <w:r w:rsidR="001144AF">
        <w:rPr>
          <w:color w:val="FFFFFF" w:themeColor="background1"/>
        </w:rPr>
        <w:fldChar w:fldCharType="end"/>
      </w:r>
      <w:bookmarkEnd w:id="48"/>
    </w:p>
    <w:p w:rsidR="00BD16CD" w:rsidRDefault="00BD16CD" w:rsidP="0022508E">
      <w:r w:rsidRPr="00715698">
        <w:t>A máxima redução do fator de atrito, provocada pela adição de pequenas quantidades de polímeros, pode ser dada pela equação do fator de atrito proposta por Virk</w:t>
      </w:r>
      <w:r w:rsidRPr="004D2E29">
        <w:t xml:space="preserve"> [</w:t>
      </w:r>
      <w:r w:rsidR="004D2E29" w:rsidRPr="004D2E29">
        <w:t>5</w:t>
      </w:r>
      <w:r w:rsidRPr="004D2E29">
        <w:t xml:space="preserve">] </w:t>
      </w:r>
      <w:r w:rsidRPr="00715698">
        <w:t xml:space="preserve">representada pela </w:t>
      </w:r>
      <w:r w:rsidR="00715698" w:rsidRPr="00715698">
        <w:fldChar w:fldCharType="begin"/>
      </w:r>
      <w:r w:rsidR="00715698" w:rsidRPr="00715698">
        <w:instrText xml:space="preserve"> REF _Ref488072837 \h  \* MERGEFORMAT </w:instrText>
      </w:r>
      <w:r w:rsidR="00715698" w:rsidRPr="00715698">
        <w:fldChar w:fldCharType="separate"/>
      </w:r>
      <w:r w:rsidR="00380A8E" w:rsidRPr="00380A8E">
        <w:t xml:space="preserve">Equação </w:t>
      </w:r>
      <w:r w:rsidR="00380A8E" w:rsidRPr="00380A8E">
        <w:rPr>
          <w:noProof/>
        </w:rPr>
        <w:t>3</w:t>
      </w:r>
      <w:r w:rsidR="00715698" w:rsidRPr="00715698">
        <w:fldChar w:fldCharType="end"/>
      </w:r>
      <w:r w:rsidR="00715698" w:rsidRPr="00715698">
        <w:t>.</w:t>
      </w:r>
      <w:r w:rsidR="00715698">
        <w:t xml:space="preserve"> </w:t>
      </w:r>
      <w:r>
        <w:t>Para o cálculo d</w:t>
      </w:r>
      <w:r w:rsidR="00715698">
        <w:t>a redução de arraste é utilizada</w:t>
      </w:r>
      <w:r>
        <w:t xml:space="preserve"> a </w:t>
      </w:r>
      <w:r w:rsidR="00715698" w:rsidRPr="00715698">
        <w:fldChar w:fldCharType="begin"/>
      </w:r>
      <w:r w:rsidR="00715698" w:rsidRPr="00715698">
        <w:instrText xml:space="preserve"> REF _Ref488072753 \h  \* MERGEFORMAT </w:instrText>
      </w:r>
      <w:r w:rsidR="00715698" w:rsidRPr="00715698">
        <w:fldChar w:fldCharType="separate"/>
      </w:r>
      <w:r w:rsidR="00380A8E" w:rsidRPr="00380A8E">
        <w:t xml:space="preserve">Equação </w:t>
      </w:r>
      <w:r w:rsidR="00380A8E" w:rsidRPr="00380A8E">
        <w:rPr>
          <w:noProof/>
        </w:rPr>
        <w:t>2</w:t>
      </w:r>
      <w:r w:rsidR="00715698" w:rsidRPr="00715698">
        <w:fldChar w:fldCharType="end"/>
      </w:r>
      <w:r w:rsidR="00715698">
        <w:t>, proposta por Lumley</w:t>
      </w:r>
      <w:r w:rsidR="00715698" w:rsidRPr="004D2E29">
        <w:t xml:space="preserve"> [</w:t>
      </w:r>
      <w:r w:rsidR="004D2E29" w:rsidRPr="004D2E29">
        <w:t>12</w:t>
      </w:r>
      <w:r w:rsidRPr="004D2E29">
        <w:t>].</w:t>
      </w:r>
    </w:p>
    <w:p w:rsidR="000B661A" w:rsidRDefault="000B661A" w:rsidP="0022508E"/>
    <w:p w:rsidR="00D641DE" w:rsidRPr="001D7C49" w:rsidRDefault="008E2AA9" w:rsidP="007D10D0">
      <w:pPr>
        <w:pStyle w:val="Nvel2-PG"/>
      </w:pPr>
      <w:bookmarkStart w:id="49" w:name="_Toc488678334"/>
      <w:r w:rsidRPr="001D7C49">
        <w:t>2.5</w:t>
      </w:r>
      <w:r w:rsidR="00503EAD" w:rsidRPr="001D7C49">
        <w:t xml:space="preserve"> </w:t>
      </w:r>
      <w:r w:rsidR="000B661A">
        <w:t xml:space="preserve">Tipos de </w:t>
      </w:r>
      <w:r w:rsidR="00503EAD" w:rsidRPr="001D7C49">
        <w:t>Aditivo</w:t>
      </w:r>
      <w:bookmarkEnd w:id="49"/>
    </w:p>
    <w:p w:rsidR="007A0FCB" w:rsidRDefault="007A0FCB" w:rsidP="000B661A">
      <w:r>
        <w:t xml:space="preserve">Os aditivos se dividem em três classes principais: os poliméricos, os surfactantes e as fibras. Ainda são estudadas diversas formas de se misturar estas classes de aditivos a fim de se obter propriedades </w:t>
      </w:r>
      <w:r w:rsidR="008C1EF4">
        <w:t xml:space="preserve">que </w:t>
      </w:r>
      <w:r w:rsidR="000936CE">
        <w:t xml:space="preserve">não são oferecidas pelos aditivos quando </w:t>
      </w:r>
      <w:r w:rsidR="008C1EF4">
        <w:t xml:space="preserve">aplicados </w:t>
      </w:r>
      <w:r>
        <w:t>isoladamente,</w:t>
      </w:r>
      <w:r w:rsidR="000936CE">
        <w:t xml:space="preserve"> são os chamados </w:t>
      </w:r>
      <w:r w:rsidR="000936CE" w:rsidRPr="000936CE">
        <w:rPr>
          <w:i/>
        </w:rPr>
        <w:t>blends</w:t>
      </w:r>
      <w:r w:rsidR="000936CE">
        <w:t>.</w:t>
      </w:r>
    </w:p>
    <w:p w:rsidR="00C97579" w:rsidRPr="00276B98" w:rsidRDefault="00C97579" w:rsidP="007A0FCB">
      <w:pPr>
        <w:pStyle w:val="Nvel3-PG"/>
        <w:jc w:val="both"/>
      </w:pPr>
    </w:p>
    <w:p w:rsidR="006D1859" w:rsidRDefault="000B661A" w:rsidP="000B661A">
      <w:pPr>
        <w:pStyle w:val="Nvel3-PG"/>
      </w:pPr>
      <w:bookmarkStart w:id="50" w:name="_Toc488678335"/>
      <w:r>
        <w:t xml:space="preserve">2.5.1 </w:t>
      </w:r>
      <w:r w:rsidR="007A0FCB" w:rsidRPr="007A0FCB">
        <w:t>Polímeros</w:t>
      </w:r>
      <w:bookmarkEnd w:id="50"/>
      <w:r w:rsidR="007A0FCB" w:rsidRPr="006D1859">
        <w:t xml:space="preserve"> </w:t>
      </w:r>
    </w:p>
    <w:p w:rsidR="00481AD5" w:rsidRPr="004D4224" w:rsidRDefault="00C97579" w:rsidP="00C75E31">
      <w:r w:rsidRPr="00C97579">
        <w:t xml:space="preserve">É a classe de aditivos </w:t>
      </w:r>
      <w:r>
        <w:t>estudada neste trabalho.</w:t>
      </w:r>
      <w:r w:rsidR="00413765">
        <w:t xml:space="preserve"> Os pol</w:t>
      </w:r>
      <w:r w:rsidR="00CF7C12">
        <w:t>ímeros são grandes moléculas originadas do</w:t>
      </w:r>
      <w:r w:rsidR="00413765">
        <w:t xml:space="preserve"> fenôme</w:t>
      </w:r>
      <w:r w:rsidR="00CF7C12">
        <w:t>no de polimerização, que consiste na união de pequenas moléculas, ou</w:t>
      </w:r>
      <w:r w:rsidR="00413765">
        <w:t xml:space="preserve"> monômero</w:t>
      </w:r>
      <w:r w:rsidR="00CF7C12">
        <w:t>s</w:t>
      </w:r>
      <w:r w:rsidR="00413765">
        <w:t xml:space="preserve">. </w:t>
      </w:r>
      <w:r w:rsidR="00CF7C12">
        <w:t>O</w:t>
      </w:r>
      <w:r w:rsidR="00413765">
        <w:t xml:space="preserve">s polímeros </w:t>
      </w:r>
      <w:r w:rsidR="00CF7C12">
        <w:t xml:space="preserve">são classificados por </w:t>
      </w:r>
      <w:r w:rsidR="00413765">
        <w:t xml:space="preserve">diversos </w:t>
      </w:r>
      <w:r w:rsidR="00413765" w:rsidRPr="00413765">
        <w:t>aspectos</w:t>
      </w:r>
      <w:r w:rsidR="00CF7C12">
        <w:t>, seja de acordo com</w:t>
      </w:r>
      <w:r w:rsidR="00413765">
        <w:t xml:space="preserve"> o processo de polimerização usado para produzi-los</w:t>
      </w:r>
      <w:r w:rsidR="00CF7C12">
        <w:t>, com</w:t>
      </w:r>
      <w:r w:rsidR="00413765">
        <w:t xml:space="preserve"> a sua estr</w:t>
      </w:r>
      <w:r w:rsidR="00CF7C12">
        <w:t>utura ou com as suas propriedades. O processo de</w:t>
      </w:r>
      <w:r w:rsidR="00413765">
        <w:t xml:space="preserve"> polimerização pode ser natural </w:t>
      </w:r>
      <w:r w:rsidR="00413765" w:rsidRPr="004D4224">
        <w:t>ou artificial</w:t>
      </w:r>
      <w:r w:rsidR="00CF7C12" w:rsidRPr="004D4224">
        <w:t xml:space="preserve">, definindo os polímeros que possuem origem biológica e sintética </w:t>
      </w:r>
      <w:r w:rsidR="004D4224" w:rsidRPr="004D4224">
        <w:t>[27</w:t>
      </w:r>
      <w:r w:rsidR="00413765" w:rsidRPr="004D4224">
        <w:t>].</w:t>
      </w:r>
    </w:p>
    <w:p w:rsidR="00CF7C12" w:rsidRPr="004D4224" w:rsidRDefault="003A204A" w:rsidP="00C75E31">
      <w:r>
        <w:lastRenderedPageBreak/>
        <w:t>Até a primeira metade do século XX os</w:t>
      </w:r>
      <w:r w:rsidR="00CF7C12">
        <w:t xml:space="preserve"> polissacarídeos utilizado</w:t>
      </w:r>
      <w:r>
        <w:t xml:space="preserve">s eram de origem vegetal, marinha </w:t>
      </w:r>
      <w:r w:rsidR="00CF7C12">
        <w:t>e terrestres.</w:t>
      </w:r>
      <w:r>
        <w:t xml:space="preserve"> Posteriormente os polímeros</w:t>
      </w:r>
      <w:r w:rsidR="00CF7C12">
        <w:t xml:space="preserve"> de origem microbiana</w:t>
      </w:r>
      <w:r>
        <w:t xml:space="preserve"> foram lançados no mercado, garantindo um material de qualidade e com oferta segura, independente de condições climáticas, uma vez que estes polímeros são produzidos em condições controladas de fermentação. Este grupo de polímeros</w:t>
      </w:r>
      <w:r w:rsidR="00CF7C12">
        <w:t xml:space="preserve"> solúv</w:t>
      </w:r>
      <w:r>
        <w:t xml:space="preserve">eis em água, de origem vegetal, </w:t>
      </w:r>
      <w:r w:rsidR="00CF7C12">
        <w:t xml:space="preserve">animal ou microbiológica, </w:t>
      </w:r>
      <w:r>
        <w:t xml:space="preserve">é denominado de </w:t>
      </w:r>
      <w:r w:rsidR="00CF7C12" w:rsidRPr="004D4224">
        <w:t>gomas</w:t>
      </w:r>
      <w:r w:rsidR="00FC487B" w:rsidRPr="004D4224">
        <w:t xml:space="preserve"> industriais. [2</w:t>
      </w:r>
      <w:r w:rsidR="004D4224">
        <w:t>8</w:t>
      </w:r>
      <w:r w:rsidR="00FC487B" w:rsidRPr="004D4224">
        <w:t>]</w:t>
      </w:r>
    </w:p>
    <w:p w:rsidR="00C97579" w:rsidRPr="004D4224" w:rsidRDefault="00FC487B" w:rsidP="00C75E31">
      <w:r>
        <w:t xml:space="preserve">No que tange </w:t>
      </w:r>
      <w:r w:rsidR="00413765">
        <w:t xml:space="preserve">à estrutura, podemos </w:t>
      </w:r>
      <w:r>
        <w:t>classificar os</w:t>
      </w:r>
      <w:r w:rsidR="00413765">
        <w:t xml:space="preserve"> em polímeros lineares, ramificados </w:t>
      </w:r>
      <w:r w:rsidR="00413765" w:rsidRPr="004D4224">
        <w:t xml:space="preserve">e cadeias poliméricas </w:t>
      </w:r>
      <w:r w:rsidR="004D4224" w:rsidRPr="004D4224">
        <w:t>[27</w:t>
      </w:r>
      <w:r w:rsidR="00413765" w:rsidRPr="004D4224">
        <w:t xml:space="preserve">]. A </w:t>
      </w:r>
      <w:r w:rsidR="0022508E" w:rsidRPr="004D4224">
        <w:fldChar w:fldCharType="begin"/>
      </w:r>
      <w:r w:rsidR="0022508E" w:rsidRPr="004D4224">
        <w:instrText xml:space="preserve"> REF _Ref488098598 \h </w:instrText>
      </w:r>
      <w:r w:rsidR="0022508E" w:rsidRPr="004D4224">
        <w:fldChar w:fldCharType="separate"/>
      </w:r>
      <w:r w:rsidR="002434CC" w:rsidRPr="004D4224">
        <w:t xml:space="preserve">Figura </w:t>
      </w:r>
      <w:r w:rsidR="002434CC" w:rsidRPr="004D4224">
        <w:rPr>
          <w:noProof/>
        </w:rPr>
        <w:t>7</w:t>
      </w:r>
      <w:r w:rsidR="0022508E" w:rsidRPr="004D4224">
        <w:fldChar w:fldCharType="end"/>
      </w:r>
      <w:r w:rsidRPr="004D4224">
        <w:t xml:space="preserve"> traz uma representação destas </w:t>
      </w:r>
      <w:r w:rsidR="00413765" w:rsidRPr="004D4224">
        <w:t>classificações.</w:t>
      </w:r>
    </w:p>
    <w:p w:rsidR="00FC487B" w:rsidRPr="002855BE" w:rsidRDefault="00FC487B" w:rsidP="00CB0CA2">
      <w:pPr>
        <w:pStyle w:val="Figura-PG"/>
      </w:pPr>
      <w:bookmarkStart w:id="51" w:name="_Ref488098598"/>
      <w:bookmarkStart w:id="52" w:name="_Toc488706048"/>
      <w:r w:rsidRPr="002855BE">
        <w:t xml:space="preserve">Figura </w:t>
      </w:r>
      <w:fldSimple w:instr=" SEQ Figura \* ARABIC ">
        <w:r w:rsidR="004C240D">
          <w:rPr>
            <w:noProof/>
          </w:rPr>
          <w:t>7</w:t>
        </w:r>
      </w:fldSimple>
      <w:bookmarkEnd w:id="51"/>
      <w:r w:rsidR="00450291">
        <w:t xml:space="preserve"> - </w:t>
      </w:r>
      <w:r w:rsidRPr="002855BE">
        <w:t>Representação esquemática de (a) um polímero linear, (b) um polímero ramificado e (c) uma cadeia de polímeros. Os pontos pretos representam locais onde cadeias estão quimicamente ligadas.</w:t>
      </w:r>
      <w:bookmarkEnd w:id="52"/>
    </w:p>
    <w:p w:rsidR="00CB0CA2" w:rsidRDefault="00CF7C12" w:rsidP="00CB0CA2">
      <w:pPr>
        <w:spacing w:after="0"/>
      </w:pPr>
      <w:r>
        <w:rPr>
          <w:noProof/>
          <w:lang w:eastAsia="pt-BR"/>
        </w:rPr>
        <w:drawing>
          <wp:inline distT="0" distB="0" distL="0" distR="0" wp14:anchorId="588A6138" wp14:editId="4FC0970E">
            <wp:extent cx="5760085" cy="185737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2306" b="4951"/>
                    <a:stretch/>
                  </pic:blipFill>
                  <pic:spPr bwMode="auto">
                    <a:xfrm>
                      <a:off x="0" y="0"/>
                      <a:ext cx="5760085" cy="1857375"/>
                    </a:xfrm>
                    <a:prstGeom prst="rect">
                      <a:avLst/>
                    </a:prstGeom>
                    <a:ln>
                      <a:noFill/>
                    </a:ln>
                    <a:extLst>
                      <a:ext uri="{53640926-AAD7-44D8-BBD7-CCE9431645EC}">
                        <a14:shadowObscured xmlns:a14="http://schemas.microsoft.com/office/drawing/2010/main"/>
                      </a:ext>
                    </a:extLst>
                  </pic:spPr>
                </pic:pic>
              </a:graphicData>
            </a:graphic>
          </wp:inline>
        </w:drawing>
      </w:r>
    </w:p>
    <w:p w:rsidR="00CB0CA2" w:rsidRDefault="00CB0CA2" w:rsidP="00CB0CA2">
      <w:pPr>
        <w:jc w:val="center"/>
      </w:pPr>
      <w:r>
        <w:t xml:space="preserve">Fonte: (BOWER, 2002) </w:t>
      </w:r>
    </w:p>
    <w:p w:rsidR="00413765" w:rsidRDefault="00FC487B" w:rsidP="00C75E31">
      <w:r>
        <w:t xml:space="preserve">Por fim, </w:t>
      </w:r>
      <w:r w:rsidR="003451C3">
        <w:t>n</w:t>
      </w:r>
      <w:r>
        <w:t xml:space="preserve">o escopo de redução de arraste, é comum a utilização de uma classificação estrutural quanto a rigidez do polímero, dividindo-os entre </w:t>
      </w:r>
      <w:r w:rsidR="00F54422" w:rsidRPr="00F54422">
        <w:t xml:space="preserve">rígidos </w:t>
      </w:r>
      <w:r w:rsidRPr="00F54422">
        <w:t>e flexíveis</w:t>
      </w:r>
      <w:r>
        <w:t xml:space="preserve">. </w:t>
      </w:r>
    </w:p>
    <w:p w:rsidR="00490D49" w:rsidRDefault="00F54422" w:rsidP="00C75E31">
      <w:r>
        <w:t xml:space="preserve">Os polímeros </w:t>
      </w:r>
      <w:r w:rsidR="00AB0BCF">
        <w:t xml:space="preserve">são responsáveis por duas formas distintas de promoção do efeito redutor de arraste. Em soluções muito diluídas </w:t>
      </w:r>
      <w:r w:rsidR="00D22436">
        <w:t xml:space="preserve">a redução de arraste ocorre apenas acima de um número de Reynolds cujo o fator de atrito se torna menor do que em escoamentos turbulentos de fluidos newtonianos comuns. Já para soluções poliméricas mais concentradas, o fenômeno de redução de arraste ocorre por meio da extensão da região laminar do escoamento. Neste caso, as condições do fenômeno de entrada são alcançadas em baixos Reynolds e a transição laminar-turbulenta não é observada de forma clara como nos escoamentos sem estes aditivos. </w:t>
      </w:r>
    </w:p>
    <w:p w:rsidR="00490D49" w:rsidRDefault="00490D49" w:rsidP="00C75E31">
      <w:r>
        <w:t>O fenômeno de entrada consiste no início do efeito de redução de arraste, em soluções poliméricas aleatoriamente enroladas, ocasionado quando se excede uma tensão de cisalhamento na parede ou a taxa de cisalhamento.</w:t>
      </w:r>
    </w:p>
    <w:p w:rsidR="000B661A" w:rsidRDefault="00D22436" w:rsidP="00F822E4">
      <w:r>
        <w:lastRenderedPageBreak/>
        <w:t xml:space="preserve">A redução de arraste atua até que uma tensão cisalhante crítica é alcançada, aumentando o grau de degradação do polímero e diminuindo seu </w:t>
      </w:r>
      <w:r w:rsidR="00490D49">
        <w:t>potencial redutor de arraste</w:t>
      </w:r>
      <w:r>
        <w:t>.</w:t>
      </w:r>
      <w:r w:rsidR="00490D49">
        <w:t xml:space="preserve"> </w:t>
      </w:r>
      <w:r>
        <w:t xml:space="preserve">A principal diferença entre esses dois tipos de redução de arraste é a região onde a redução </w:t>
      </w:r>
      <w:r w:rsidR="00490D49">
        <w:t xml:space="preserve">ocorre. Virk classificou estas reduções de arraste em Tipo A e Tipo B </w:t>
      </w:r>
      <w:r w:rsidR="00FD773A" w:rsidRPr="00FD773A">
        <w:t>[8</w:t>
      </w:r>
      <w:r w:rsidR="00490D49" w:rsidRPr="00FD773A">
        <w:t>].</w:t>
      </w:r>
    </w:p>
    <w:p w:rsidR="00F822E4" w:rsidRPr="00F822E4" w:rsidRDefault="00F822E4" w:rsidP="00F822E4"/>
    <w:p w:rsidR="000B661A" w:rsidRDefault="000B661A" w:rsidP="000B661A">
      <w:pPr>
        <w:pStyle w:val="Nvel4-PG"/>
      </w:pPr>
      <w:bookmarkStart w:id="53" w:name="_Toc488678336"/>
      <w:r>
        <w:t>2.5.1.1</w:t>
      </w:r>
      <w:r w:rsidRPr="00503EAD">
        <w:t xml:space="preserve"> Goma Guar</w:t>
      </w:r>
      <w:bookmarkEnd w:id="53"/>
    </w:p>
    <w:p w:rsidR="00D1749D" w:rsidRPr="00684EA6" w:rsidRDefault="00E45F60" w:rsidP="00D1749D">
      <w:pPr>
        <w:autoSpaceDE w:val="0"/>
        <w:autoSpaceDN w:val="0"/>
        <w:adjustRightInd w:val="0"/>
        <w:contextualSpacing w:val="0"/>
        <w:rPr>
          <w:rFonts w:cs="Arial"/>
          <w:szCs w:val="24"/>
        </w:rPr>
      </w:pPr>
      <w:r>
        <w:rPr>
          <w:rFonts w:cs="Arial"/>
          <w:szCs w:val="24"/>
        </w:rPr>
        <w:t xml:space="preserve">É obtida do endosperma da Cyamopsis </w:t>
      </w:r>
      <w:r w:rsidRPr="00E45F60">
        <w:rPr>
          <w:rFonts w:cs="Arial"/>
          <w:szCs w:val="24"/>
        </w:rPr>
        <w:t>tetragonolobus</w:t>
      </w:r>
      <w:r>
        <w:rPr>
          <w:rFonts w:cs="Arial"/>
          <w:szCs w:val="24"/>
        </w:rPr>
        <w:t xml:space="preserve">, conhecida como planta Guar. Possui alto peso molecular, e é formada por uma cadeia linear de manose </w:t>
      </w:r>
      <w:r w:rsidR="00D1749D">
        <w:rPr>
          <w:rFonts w:cs="Arial"/>
          <w:szCs w:val="24"/>
        </w:rPr>
        <w:t xml:space="preserve">(β-1,4) com resíduos de galactose </w:t>
      </w:r>
      <w:r w:rsidRPr="00E45F60">
        <w:rPr>
          <w:rFonts w:cs="Arial"/>
          <w:szCs w:val="24"/>
        </w:rPr>
        <w:t>como cadeias laterais</w:t>
      </w:r>
      <w:r w:rsidR="00D1749D">
        <w:rPr>
          <w:rFonts w:cs="Arial"/>
          <w:szCs w:val="24"/>
        </w:rPr>
        <w:t xml:space="preserve"> (</w:t>
      </w:r>
      <w:r w:rsidR="0022508E">
        <w:rPr>
          <w:rFonts w:cs="Arial"/>
          <w:szCs w:val="24"/>
        </w:rPr>
        <w:fldChar w:fldCharType="begin"/>
      </w:r>
      <w:r w:rsidR="0022508E">
        <w:rPr>
          <w:rFonts w:cs="Arial"/>
          <w:szCs w:val="24"/>
        </w:rPr>
        <w:instrText xml:space="preserve"> REF _Ref488098619 \h </w:instrText>
      </w:r>
      <w:r w:rsidR="0022508E">
        <w:rPr>
          <w:rFonts w:cs="Arial"/>
          <w:szCs w:val="24"/>
        </w:rPr>
      </w:r>
      <w:r w:rsidR="0022508E">
        <w:rPr>
          <w:rFonts w:cs="Arial"/>
          <w:szCs w:val="24"/>
        </w:rPr>
        <w:fldChar w:fldCharType="separate"/>
      </w:r>
      <w:r w:rsidR="002434CC" w:rsidRPr="002855BE">
        <w:t xml:space="preserve">Figura </w:t>
      </w:r>
      <w:r w:rsidR="002434CC">
        <w:rPr>
          <w:noProof/>
        </w:rPr>
        <w:t>8</w:t>
      </w:r>
      <w:r w:rsidR="0022508E">
        <w:rPr>
          <w:rFonts w:cs="Arial"/>
          <w:szCs w:val="24"/>
        </w:rPr>
        <w:fldChar w:fldCharType="end"/>
      </w:r>
      <w:r w:rsidR="00D1749D">
        <w:rPr>
          <w:rFonts w:cs="Arial"/>
          <w:szCs w:val="24"/>
        </w:rPr>
        <w:t>)</w:t>
      </w:r>
      <w:r w:rsidRPr="00E45F60">
        <w:rPr>
          <w:rFonts w:cs="Arial"/>
          <w:szCs w:val="24"/>
        </w:rPr>
        <w:t xml:space="preserve">, na proporção </w:t>
      </w:r>
      <w:r w:rsidR="00D1749D">
        <w:rPr>
          <w:rFonts w:cs="Arial"/>
          <w:szCs w:val="24"/>
        </w:rPr>
        <w:t xml:space="preserve">média </w:t>
      </w:r>
      <w:r w:rsidRPr="00E45F60">
        <w:rPr>
          <w:rFonts w:cs="Arial"/>
          <w:szCs w:val="24"/>
        </w:rPr>
        <w:t>de</w:t>
      </w:r>
      <w:r w:rsidR="00D1749D">
        <w:rPr>
          <w:rFonts w:cs="Arial"/>
          <w:szCs w:val="24"/>
        </w:rPr>
        <w:t xml:space="preserve"> </w:t>
      </w:r>
      <w:r w:rsidR="00D1749D" w:rsidRPr="00D1749D">
        <w:rPr>
          <w:rFonts w:cs="Arial"/>
          <w:szCs w:val="24"/>
        </w:rPr>
        <w:t>uma unidade de galactose para duas</w:t>
      </w:r>
      <w:r w:rsidR="00D1749D">
        <w:rPr>
          <w:rFonts w:cs="Arial"/>
          <w:szCs w:val="24"/>
        </w:rPr>
        <w:t xml:space="preserve"> </w:t>
      </w:r>
      <w:r w:rsidR="00D1749D" w:rsidRPr="00D1749D">
        <w:rPr>
          <w:rFonts w:cs="Arial"/>
          <w:szCs w:val="24"/>
        </w:rPr>
        <w:t>de</w:t>
      </w:r>
      <w:r w:rsidR="00D1749D">
        <w:rPr>
          <w:rFonts w:cs="Arial"/>
          <w:szCs w:val="24"/>
        </w:rPr>
        <w:t xml:space="preserve"> manose. Quanto maior a relação </w:t>
      </w:r>
      <w:r w:rsidR="00D1749D" w:rsidRPr="00D1749D">
        <w:rPr>
          <w:rFonts w:cs="Arial"/>
          <w:szCs w:val="24"/>
        </w:rPr>
        <w:t>molar galactose/manose, maior a solubilidade</w:t>
      </w:r>
      <w:r w:rsidR="00D1749D">
        <w:rPr>
          <w:rFonts w:cs="Arial"/>
          <w:szCs w:val="24"/>
        </w:rPr>
        <w:t xml:space="preserve"> </w:t>
      </w:r>
      <w:r w:rsidR="00D1749D" w:rsidRPr="00D1749D">
        <w:rPr>
          <w:rFonts w:cs="Arial"/>
          <w:szCs w:val="24"/>
        </w:rPr>
        <w:t>em água fria.</w:t>
      </w:r>
      <w:r w:rsidR="00D1749D">
        <w:rPr>
          <w:rFonts w:cs="Arial"/>
          <w:szCs w:val="24"/>
        </w:rPr>
        <w:t xml:space="preserve"> Seu peso </w:t>
      </w:r>
      <w:r w:rsidR="00D1749D" w:rsidRPr="00D1749D">
        <w:rPr>
          <w:rFonts w:cs="Arial"/>
          <w:szCs w:val="24"/>
        </w:rPr>
        <w:t>molecular é da ordem de 1.500.000</w:t>
      </w:r>
      <w:r w:rsidR="00F00115">
        <w:t xml:space="preserve"> g/mol</w:t>
      </w:r>
      <w:r w:rsidR="00D1749D" w:rsidRPr="00D1749D">
        <w:rPr>
          <w:rFonts w:cs="Arial"/>
          <w:szCs w:val="24"/>
        </w:rPr>
        <w:t xml:space="preserve"> a</w:t>
      </w:r>
      <w:r w:rsidR="00D1749D">
        <w:rPr>
          <w:rFonts w:cs="Arial"/>
          <w:szCs w:val="24"/>
        </w:rPr>
        <w:t xml:space="preserve"> </w:t>
      </w:r>
      <w:r w:rsidR="00D1749D" w:rsidRPr="00D1749D">
        <w:rPr>
          <w:rFonts w:cs="Arial"/>
          <w:szCs w:val="24"/>
        </w:rPr>
        <w:t>2.500.000</w:t>
      </w:r>
      <w:r w:rsidR="00F00115">
        <w:t xml:space="preserve"> g/mol</w:t>
      </w:r>
      <w:r w:rsidR="00D1749D" w:rsidRPr="00D1749D">
        <w:rPr>
          <w:rFonts w:cs="Arial"/>
          <w:szCs w:val="24"/>
        </w:rPr>
        <w:t>.</w:t>
      </w:r>
      <w:r w:rsidR="00D1749D">
        <w:rPr>
          <w:rFonts w:cs="Arial"/>
          <w:szCs w:val="24"/>
        </w:rPr>
        <w:t xml:space="preserve"> Amplamente utilizado na indústria alimentícia como agente espessante e estabilizante, apesar da sua incapacidade de formar gel. </w:t>
      </w:r>
      <w:r w:rsidR="00D1749D" w:rsidRPr="00D1749D">
        <w:rPr>
          <w:rFonts w:cs="Arial"/>
          <w:szCs w:val="24"/>
        </w:rPr>
        <w:t>Suas soluções</w:t>
      </w:r>
      <w:r w:rsidR="00D1749D">
        <w:rPr>
          <w:rFonts w:cs="Arial"/>
          <w:szCs w:val="24"/>
        </w:rPr>
        <w:t xml:space="preserve"> </w:t>
      </w:r>
      <w:r w:rsidR="00D1749D" w:rsidRPr="00684EA6">
        <w:rPr>
          <w:rFonts w:cs="Arial"/>
          <w:szCs w:val="24"/>
        </w:rPr>
        <w:t>apresentam propriedades pseudoplásticas (não newtonianas).</w:t>
      </w:r>
      <w:r w:rsidR="004B7582" w:rsidRPr="00684EA6">
        <w:rPr>
          <w:rFonts w:cs="Arial"/>
          <w:szCs w:val="24"/>
        </w:rPr>
        <w:t xml:space="preserve"> [</w:t>
      </w:r>
      <w:r w:rsidR="00FD773A" w:rsidRPr="00684EA6">
        <w:rPr>
          <w:rFonts w:cs="Arial"/>
          <w:szCs w:val="24"/>
        </w:rPr>
        <w:t>29</w:t>
      </w:r>
      <w:r w:rsidR="004B7582" w:rsidRPr="00684EA6">
        <w:rPr>
          <w:rFonts w:cs="Arial"/>
          <w:szCs w:val="24"/>
        </w:rPr>
        <w:t>]</w:t>
      </w:r>
    </w:p>
    <w:p w:rsidR="004B7582" w:rsidRPr="002855BE" w:rsidRDefault="004B7582" w:rsidP="00CB0CA2">
      <w:pPr>
        <w:pStyle w:val="Figura-PG"/>
      </w:pPr>
      <w:bookmarkStart w:id="54" w:name="_Ref488098619"/>
      <w:bookmarkStart w:id="55" w:name="_Toc488706049"/>
      <w:r w:rsidRPr="002855BE">
        <w:t xml:space="preserve">Figura </w:t>
      </w:r>
      <w:fldSimple w:instr=" SEQ Figura \* ARABIC ">
        <w:r w:rsidR="004C240D">
          <w:rPr>
            <w:noProof/>
          </w:rPr>
          <w:t>8</w:t>
        </w:r>
      </w:fldSimple>
      <w:bookmarkEnd w:id="54"/>
      <w:r w:rsidR="00450291">
        <w:t xml:space="preserve"> - </w:t>
      </w:r>
      <w:r w:rsidRPr="002855BE">
        <w:t>Estrutura química da Goma Guar, um polissacarídeo de armazenamento.</w:t>
      </w:r>
      <w:bookmarkEnd w:id="55"/>
    </w:p>
    <w:p w:rsidR="004B7582" w:rsidRDefault="004B7582" w:rsidP="004B7582">
      <w:pPr>
        <w:autoSpaceDE w:val="0"/>
        <w:autoSpaceDN w:val="0"/>
        <w:adjustRightInd w:val="0"/>
        <w:contextualSpacing w:val="0"/>
        <w:jc w:val="center"/>
        <w:rPr>
          <w:rFonts w:cs="Arial"/>
          <w:szCs w:val="24"/>
        </w:rPr>
      </w:pPr>
      <w:r>
        <w:rPr>
          <w:noProof/>
          <w:lang w:eastAsia="pt-BR"/>
        </w:rPr>
        <w:drawing>
          <wp:inline distT="0" distB="0" distL="0" distR="0" wp14:anchorId="2A6FDBA3" wp14:editId="2049D71B">
            <wp:extent cx="3567611" cy="272415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79634" cy="2733330"/>
                    </a:xfrm>
                    <a:prstGeom prst="rect">
                      <a:avLst/>
                    </a:prstGeom>
                  </pic:spPr>
                </pic:pic>
              </a:graphicData>
            </a:graphic>
          </wp:inline>
        </w:drawing>
      </w:r>
    </w:p>
    <w:p w:rsidR="004B7582" w:rsidRDefault="004B7582" w:rsidP="004B7582">
      <w:pPr>
        <w:autoSpaceDE w:val="0"/>
        <w:autoSpaceDN w:val="0"/>
        <w:adjustRightInd w:val="0"/>
        <w:contextualSpacing w:val="0"/>
        <w:jc w:val="center"/>
        <w:rPr>
          <w:rFonts w:cs="Arial"/>
          <w:szCs w:val="24"/>
        </w:rPr>
      </w:pPr>
      <w:r>
        <w:rPr>
          <w:rFonts w:cs="Arial"/>
          <w:szCs w:val="24"/>
        </w:rPr>
        <w:t>Fonte: (</w:t>
      </w:r>
      <w:r w:rsidR="00CB0CA2">
        <w:rPr>
          <w:rFonts w:cs="Arial"/>
          <w:szCs w:val="24"/>
        </w:rPr>
        <w:t>ABDULRABI, SHABIRIN, 2014)</w:t>
      </w:r>
    </w:p>
    <w:p w:rsidR="004B7582" w:rsidRDefault="004B7582" w:rsidP="00D1749D">
      <w:pPr>
        <w:autoSpaceDE w:val="0"/>
        <w:autoSpaceDN w:val="0"/>
        <w:adjustRightInd w:val="0"/>
        <w:contextualSpacing w:val="0"/>
        <w:rPr>
          <w:rFonts w:cs="Arial"/>
          <w:szCs w:val="24"/>
        </w:rPr>
      </w:pPr>
    </w:p>
    <w:p w:rsidR="004B7582" w:rsidRDefault="00D1749D" w:rsidP="00D1749D">
      <w:pPr>
        <w:autoSpaceDE w:val="0"/>
        <w:autoSpaceDN w:val="0"/>
        <w:adjustRightInd w:val="0"/>
        <w:contextualSpacing w:val="0"/>
        <w:rPr>
          <w:rFonts w:cs="Arial"/>
          <w:color w:val="FF0000"/>
          <w:szCs w:val="24"/>
        </w:rPr>
      </w:pPr>
      <w:r>
        <w:rPr>
          <w:rFonts w:cs="Arial"/>
          <w:szCs w:val="24"/>
        </w:rPr>
        <w:t>Nas aplicações como aditivo redutor de arraste, a gom</w:t>
      </w:r>
      <w:r w:rsidR="00F944F5">
        <w:rPr>
          <w:rFonts w:cs="Arial"/>
          <w:szCs w:val="24"/>
        </w:rPr>
        <w:t xml:space="preserve">a guar apresenta bom desempenho, podendo atingir até cerca de 65% de redução de arraste quando passadas por um processo de purificação ou enxerto com ramos de PAM sintético nas </w:t>
      </w:r>
      <w:r w:rsidR="00F944F5">
        <w:rPr>
          <w:rFonts w:cs="Arial"/>
          <w:szCs w:val="24"/>
        </w:rPr>
        <w:lastRenderedPageBreak/>
        <w:t xml:space="preserve">cadeias principais do polissacarídeo. Por ser um polímero biológico, a goma guar sofre com o processo de biodegradação. Tendo isso em vista, alguns estudos são direcionados </w:t>
      </w:r>
      <w:r w:rsidR="00F944F5" w:rsidRPr="00620CB6">
        <w:rPr>
          <w:rFonts w:cs="Arial"/>
          <w:szCs w:val="24"/>
        </w:rPr>
        <w:t>a inserir elementos como a metacrilamida nas cadeias de guar, estendendo o tempo de duração do polímero sem a ocorrência de degradação</w:t>
      </w:r>
      <w:r w:rsidR="00684EA6" w:rsidRPr="00620CB6">
        <w:rPr>
          <w:rFonts w:cs="Arial"/>
          <w:szCs w:val="24"/>
        </w:rPr>
        <w:t xml:space="preserve"> microbial.</w:t>
      </w:r>
      <w:r w:rsidR="004B7582" w:rsidRPr="00620CB6">
        <w:rPr>
          <w:rFonts w:cs="Arial"/>
          <w:szCs w:val="24"/>
        </w:rPr>
        <w:t xml:space="preserve"> </w:t>
      </w:r>
      <w:r w:rsidR="00F944F5" w:rsidRPr="00620CB6">
        <w:rPr>
          <w:rFonts w:cs="Arial"/>
          <w:szCs w:val="24"/>
        </w:rPr>
        <w:t>[3</w:t>
      </w:r>
      <w:r w:rsidR="00620CB6" w:rsidRPr="00620CB6">
        <w:rPr>
          <w:rFonts w:cs="Arial"/>
          <w:szCs w:val="24"/>
        </w:rPr>
        <w:t>0</w:t>
      </w:r>
      <w:r w:rsidR="004B7582" w:rsidRPr="00620CB6">
        <w:rPr>
          <w:rFonts w:cs="Arial"/>
          <w:szCs w:val="24"/>
        </w:rPr>
        <w:t>]</w:t>
      </w:r>
    </w:p>
    <w:p w:rsidR="004B7582" w:rsidRPr="004B7582" w:rsidRDefault="004B7582" w:rsidP="00D1749D">
      <w:pPr>
        <w:autoSpaceDE w:val="0"/>
        <w:autoSpaceDN w:val="0"/>
        <w:adjustRightInd w:val="0"/>
        <w:contextualSpacing w:val="0"/>
        <w:rPr>
          <w:rFonts w:cs="Arial"/>
          <w:szCs w:val="24"/>
        </w:rPr>
      </w:pPr>
      <w:r>
        <w:rPr>
          <w:rFonts w:cs="Arial"/>
          <w:szCs w:val="24"/>
        </w:rPr>
        <w:t xml:space="preserve">Uma análise do desempenho das gomas guar comercial, purificada e enxertada nos dá uma noção da sua capacidade de redução de arraste de acordo com a concentração. A </w:t>
      </w:r>
      <w:r w:rsidR="0022508E">
        <w:rPr>
          <w:rFonts w:cs="Arial"/>
          <w:color w:val="FF0000"/>
          <w:szCs w:val="24"/>
        </w:rPr>
        <w:fldChar w:fldCharType="begin"/>
      </w:r>
      <w:r w:rsidR="0022508E">
        <w:rPr>
          <w:rFonts w:cs="Arial"/>
          <w:szCs w:val="24"/>
        </w:rPr>
        <w:instrText xml:space="preserve"> REF _Ref488098641 \h </w:instrText>
      </w:r>
      <w:r w:rsidR="0022508E">
        <w:rPr>
          <w:rFonts w:cs="Arial"/>
          <w:color w:val="FF0000"/>
          <w:szCs w:val="24"/>
        </w:rPr>
      </w:r>
      <w:r w:rsidR="0022508E">
        <w:rPr>
          <w:rFonts w:cs="Arial"/>
          <w:color w:val="FF0000"/>
          <w:szCs w:val="24"/>
        </w:rPr>
        <w:fldChar w:fldCharType="separate"/>
      </w:r>
      <w:r w:rsidR="002434CC" w:rsidRPr="002855BE">
        <w:t xml:space="preserve">Figura </w:t>
      </w:r>
      <w:r w:rsidR="002434CC">
        <w:rPr>
          <w:noProof/>
        </w:rPr>
        <w:t>9</w:t>
      </w:r>
      <w:r w:rsidR="0022508E">
        <w:rPr>
          <w:rFonts w:cs="Arial"/>
          <w:color w:val="FF0000"/>
          <w:szCs w:val="24"/>
        </w:rPr>
        <w:fldChar w:fldCharType="end"/>
      </w:r>
      <w:r>
        <w:rPr>
          <w:rFonts w:cs="Arial"/>
          <w:szCs w:val="24"/>
        </w:rPr>
        <w:t xml:space="preserve"> exibe as curvas de </w:t>
      </w:r>
      <m:oMath>
        <m:r>
          <w:rPr>
            <w:rFonts w:ascii="Cambria Math" w:hAnsi="Cambria Math" w:cs="Arial"/>
            <w:szCs w:val="24"/>
          </w:rPr>
          <m:t>DR%</m:t>
        </m:r>
      </m:oMath>
      <w:r>
        <w:rPr>
          <w:rFonts w:cs="Arial"/>
          <w:szCs w:val="24"/>
        </w:rPr>
        <w:t xml:space="preserve"> por concentração. Nela é possível identificar um aumento na performance da Goma Guar quando tratada.</w:t>
      </w:r>
    </w:p>
    <w:p w:rsidR="004B7582" w:rsidRPr="002855BE" w:rsidRDefault="004B7582" w:rsidP="006015E4">
      <w:pPr>
        <w:pStyle w:val="Figura-PG"/>
      </w:pPr>
      <w:bookmarkStart w:id="56" w:name="_Ref488098641"/>
      <w:bookmarkStart w:id="57" w:name="_Toc488706050"/>
      <w:r w:rsidRPr="002855BE">
        <w:t xml:space="preserve">Figura </w:t>
      </w:r>
      <w:fldSimple w:instr=" SEQ Figura \* ARABIC ">
        <w:r w:rsidR="004C240D">
          <w:rPr>
            <w:noProof/>
          </w:rPr>
          <w:t>9</w:t>
        </w:r>
      </w:fldSimple>
      <w:bookmarkEnd w:id="56"/>
      <w:r w:rsidR="00450291">
        <w:t xml:space="preserve"> - </w:t>
      </w:r>
      <w:r w:rsidRPr="002855BE">
        <w:t>Características redutoras de arraste para diferentes tipos de Goma Guar.</w:t>
      </w:r>
      <w:bookmarkEnd w:id="57"/>
    </w:p>
    <w:p w:rsidR="004B7582" w:rsidRDefault="004B7582" w:rsidP="004B7582">
      <w:pPr>
        <w:autoSpaceDE w:val="0"/>
        <w:autoSpaceDN w:val="0"/>
        <w:adjustRightInd w:val="0"/>
        <w:contextualSpacing w:val="0"/>
        <w:jc w:val="center"/>
        <w:rPr>
          <w:rFonts w:cs="Arial"/>
          <w:szCs w:val="24"/>
        </w:rPr>
      </w:pPr>
      <w:r>
        <w:rPr>
          <w:noProof/>
          <w:lang w:eastAsia="pt-BR"/>
        </w:rPr>
        <w:drawing>
          <wp:inline distT="0" distB="0" distL="0" distR="0" wp14:anchorId="4BCDE6F2" wp14:editId="3521BE56">
            <wp:extent cx="4105275" cy="4354969"/>
            <wp:effectExtent l="0" t="0" r="0" b="762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14982" cy="4365266"/>
                    </a:xfrm>
                    <a:prstGeom prst="rect">
                      <a:avLst/>
                    </a:prstGeom>
                  </pic:spPr>
                </pic:pic>
              </a:graphicData>
            </a:graphic>
          </wp:inline>
        </w:drawing>
      </w:r>
    </w:p>
    <w:p w:rsidR="004B7582" w:rsidRDefault="004B7582" w:rsidP="004B7582">
      <w:pPr>
        <w:autoSpaceDE w:val="0"/>
        <w:autoSpaceDN w:val="0"/>
        <w:adjustRightInd w:val="0"/>
        <w:contextualSpacing w:val="0"/>
        <w:jc w:val="center"/>
        <w:rPr>
          <w:rFonts w:cs="Arial"/>
          <w:szCs w:val="24"/>
        </w:rPr>
      </w:pPr>
      <w:r>
        <w:rPr>
          <w:rFonts w:cs="Arial"/>
          <w:szCs w:val="24"/>
        </w:rPr>
        <w:t>Fonte: (</w:t>
      </w:r>
      <w:r w:rsidR="006015E4">
        <w:rPr>
          <w:rFonts w:cs="Arial"/>
          <w:szCs w:val="24"/>
        </w:rPr>
        <w:t>ABDULRABI, SHABIRIN, 2014)</w:t>
      </w:r>
    </w:p>
    <w:p w:rsidR="000B661A" w:rsidRPr="00503EAD" w:rsidRDefault="000B661A" w:rsidP="000B661A">
      <w:pPr>
        <w:pStyle w:val="Nvel1-PG"/>
        <w:rPr>
          <w:b w:val="0"/>
        </w:rPr>
      </w:pPr>
    </w:p>
    <w:p w:rsidR="000B661A" w:rsidRPr="002A40C6" w:rsidRDefault="000B661A" w:rsidP="000B661A">
      <w:pPr>
        <w:pStyle w:val="Nvel4-PG"/>
      </w:pPr>
      <w:bookmarkStart w:id="58" w:name="_Toc488678337"/>
      <w:r>
        <w:t>2.5.1.2 Poli(óxido etileno) -</w:t>
      </w:r>
      <w:r w:rsidRPr="00503EAD">
        <w:t xml:space="preserve"> PEO</w:t>
      </w:r>
      <w:bookmarkEnd w:id="58"/>
    </w:p>
    <w:p w:rsidR="005D7F4E" w:rsidRPr="00620CB6" w:rsidRDefault="005D7F4E" w:rsidP="005D7F4E">
      <w:r w:rsidRPr="005D7F4E">
        <w:t xml:space="preserve">O poli(óxido de etileno) </w:t>
      </w:r>
      <w:r>
        <w:t>é um polímero disponível</w:t>
      </w:r>
      <w:r w:rsidRPr="005D7F4E">
        <w:t xml:space="preserve"> em uma ampla faixa de massas moleculares (</w:t>
      </w:r>
      <m:oMath>
        <m:r>
          <w:rPr>
            <w:rFonts w:ascii="Cambria Math" w:hAnsi="Cambria Math"/>
          </w:rPr>
          <m:t>Mw</m:t>
        </m:r>
      </m:oMath>
      <w:r w:rsidRPr="005D7F4E">
        <w:t>)</w:t>
      </w:r>
      <w:r>
        <w:t xml:space="preserve">; os que possuem </w:t>
      </w:r>
      <m:oMath>
        <m:r>
          <w:rPr>
            <w:rFonts w:ascii="Cambria Math" w:hAnsi="Cambria Math"/>
          </w:rPr>
          <m:t>Mw &lt; 100.000</m:t>
        </m:r>
      </m:oMath>
      <w:r>
        <w:t xml:space="preserve"> </w:t>
      </w:r>
      <w:r w:rsidR="00F00115">
        <w:t xml:space="preserve">g/mol </w:t>
      </w:r>
      <w:r>
        <w:t>são c</w:t>
      </w:r>
      <w:r w:rsidR="00155BFB">
        <w:t xml:space="preserve">hamados de </w:t>
      </w:r>
      <w:r w:rsidR="00155BFB">
        <w:lastRenderedPageBreak/>
        <w:t xml:space="preserve">poli(etileno glicol) </w:t>
      </w:r>
      <w:r>
        <w:t xml:space="preserve">ou </w:t>
      </w:r>
      <w:r w:rsidR="00155BFB" w:rsidRPr="00155BFB">
        <w:t>polietilenoglicol</w:t>
      </w:r>
      <w:r w:rsidR="00155BFB">
        <w:t xml:space="preserve"> </w:t>
      </w:r>
      <w:r w:rsidR="008B4F31">
        <w:t>–</w:t>
      </w:r>
      <w:r w:rsidR="00155BFB" w:rsidRPr="00155BFB">
        <w:t xml:space="preserve"> </w:t>
      </w:r>
      <w:r w:rsidR="008B4F31">
        <w:t>PEG</w:t>
      </w:r>
      <w:r>
        <w:t xml:space="preserve">. Já os que possuem </w:t>
      </w:r>
      <m:oMath>
        <m:r>
          <w:rPr>
            <w:rFonts w:ascii="Cambria Math" w:hAnsi="Cambria Math"/>
          </w:rPr>
          <m:t>Mw &gt; 100.000</m:t>
        </m:r>
      </m:oMath>
      <w:r w:rsidR="00F00115">
        <w:t xml:space="preserve"> g/mol </w:t>
      </w:r>
      <w:r>
        <w:t>são chamados de poli(óxido de etileno) ou PEO e são encontrados na forma de ceras ou sólidos.</w:t>
      </w:r>
      <w:r w:rsidR="00BC078D">
        <w:t xml:space="preserve"> Sua fórmula geral é </w:t>
      </w:r>
      <m:oMath>
        <m:r>
          <w:rPr>
            <w:rFonts w:ascii="Cambria Math" w:hAnsi="Cambria Math"/>
          </w:rPr>
          <m:t>H</m:t>
        </m:r>
        <m:sSub>
          <m:sSubPr>
            <m:ctrlPr>
              <w:rPr>
                <w:rFonts w:ascii="Cambria Math" w:hAnsi="Cambria Math"/>
                <w:i/>
              </w:rPr>
            </m:ctrlPr>
          </m:sSubPr>
          <m:e>
            <m:r>
              <w:rPr>
                <w:rFonts w:ascii="Cambria Math" w:hAnsi="Cambria Math"/>
              </w:rPr>
              <m:t>(</m:t>
            </m:r>
            <m:r>
              <w:rPr>
                <w:rFonts w:ascii="Cambria Math" w:hAnsi="Cambria Math" w:cs="Arial"/>
              </w:rPr>
              <m:t>-</m:t>
            </m:r>
            <m:r>
              <w:rPr>
                <w:rFonts w:ascii="Cambria Math" w:hAnsi="Cambria Math"/>
              </w:rPr>
              <m:t>O</m:t>
            </m:r>
            <m:r>
              <w:rPr>
                <w:rFonts w:ascii="Cambria Math" w:hAnsi="Cambria Math" w:cs="Arial"/>
              </w:rPr>
              <m:t>-</m:t>
            </m:r>
            <m:r>
              <w:rPr>
                <w:rFonts w:ascii="Cambria Math" w:hAnsi="Cambria Math"/>
              </w:rPr>
              <m:t>CH2</m:t>
            </m:r>
            <m:r>
              <w:rPr>
                <w:rFonts w:ascii="Cambria Math" w:hAnsi="Cambria Math" w:cs="Arial"/>
              </w:rPr>
              <m:t>-</m:t>
            </m:r>
            <m:r>
              <w:rPr>
                <w:rFonts w:ascii="Cambria Math" w:hAnsi="Cambria Math"/>
              </w:rPr>
              <m:t>CH2</m:t>
            </m:r>
            <m:r>
              <w:rPr>
                <w:rFonts w:ascii="Cambria Math" w:hAnsi="Cambria Math" w:cs="Arial"/>
              </w:rPr>
              <m:t>-</m:t>
            </m:r>
            <m:r>
              <w:rPr>
                <w:rFonts w:ascii="Cambria Math" w:hAnsi="Cambria Math"/>
              </w:rPr>
              <m:t>)</m:t>
            </m:r>
          </m:e>
          <m:sub>
            <m:r>
              <w:rPr>
                <w:rFonts w:ascii="Cambria Math" w:hAnsi="Cambria Math"/>
              </w:rPr>
              <m:t>n</m:t>
            </m:r>
          </m:sub>
        </m:sSub>
        <m:r>
          <w:rPr>
            <w:rFonts w:ascii="Cambria Math" w:hAnsi="Cambria Math"/>
          </w:rPr>
          <m:t>OH</m:t>
        </m:r>
      </m:oMath>
      <w:r w:rsidR="00BC078D">
        <w:rPr>
          <w:rFonts w:eastAsiaTheme="minorEastAsia"/>
        </w:rPr>
        <w:t xml:space="preserve">, o que o torna capaz de formar oligômeros </w:t>
      </w:r>
      <w:r w:rsidR="00BC078D" w:rsidRPr="00620CB6">
        <w:rPr>
          <w:rFonts w:eastAsiaTheme="minorEastAsia"/>
        </w:rPr>
        <w:t xml:space="preserve">da ordem de milhões em massa molecular </w:t>
      </w:r>
      <w:r w:rsidR="00BC078D" w:rsidRPr="00620CB6">
        <w:t>(</w:t>
      </w:r>
      <m:oMath>
        <m:r>
          <w:rPr>
            <w:rFonts w:ascii="Cambria Math" w:hAnsi="Cambria Math"/>
          </w:rPr>
          <m:t>Mw</m:t>
        </m:r>
      </m:oMath>
      <w:r w:rsidR="00BC078D" w:rsidRPr="00620CB6">
        <w:t>)</w:t>
      </w:r>
      <w:r w:rsidR="008B4F31" w:rsidRPr="00620CB6">
        <w:t xml:space="preserve">. </w:t>
      </w:r>
      <w:r w:rsidR="00620CB6" w:rsidRPr="00620CB6">
        <w:t>[31</w:t>
      </w:r>
      <w:r w:rsidR="008B4F31" w:rsidRPr="00620CB6">
        <w:t>]</w:t>
      </w:r>
    </w:p>
    <w:p w:rsidR="000B661A" w:rsidRDefault="005D7F4E" w:rsidP="005D7F4E">
      <w:r>
        <w:t>Algumas das características do PEO são a sua forma cristalina, não-iônica, seu caráter termoplástico</w:t>
      </w:r>
      <w:r w:rsidR="00BC078D">
        <w:t xml:space="preserve"> e a presença de </w:t>
      </w:r>
      <w:r>
        <w:t>unidade</w:t>
      </w:r>
      <w:r w:rsidR="00BC078D">
        <w:t>s hidrofó</w:t>
      </w:r>
      <w:r>
        <w:t>bica</w:t>
      </w:r>
      <w:r w:rsidR="00BC078D">
        <w:t>s</w:t>
      </w:r>
      <w:r>
        <w:t xml:space="preserve"> (etileno) </w:t>
      </w:r>
      <w:r w:rsidR="00BC078D">
        <w:t>e hidrofí</w:t>
      </w:r>
      <w:r>
        <w:t>lica</w:t>
      </w:r>
      <w:r w:rsidR="00BC078D">
        <w:t>s (oxigênio) em sua estrutura química, o que torna este polímero solú</w:t>
      </w:r>
      <w:r>
        <w:t>vel em uma am</w:t>
      </w:r>
      <w:r w:rsidR="00BC078D">
        <w:t>pla variedade de solventes orgâ</w:t>
      </w:r>
      <w:r>
        <w:t>nicos</w:t>
      </w:r>
      <w:r w:rsidR="00BC078D">
        <w:t>, incluindo a á</w:t>
      </w:r>
      <w:r>
        <w:t>gua</w:t>
      </w:r>
      <w:r w:rsidR="00BC078D">
        <w:t xml:space="preserve">. Para o presente trabalho o aditivo utilizado fora o PEO de massa molecular </w:t>
      </w:r>
      <m:oMath>
        <m:r>
          <w:rPr>
            <w:rFonts w:ascii="Cambria Math" w:hAnsi="Cambria Math"/>
          </w:rPr>
          <m:t>Mw</m:t>
        </m:r>
        <m:r>
          <w:rPr>
            <w:rFonts w:ascii="Cambria Math" w:eastAsiaTheme="minorEastAsia" w:hAnsi="Cambria Math"/>
          </w:rPr>
          <m:t>=5,0×</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oMath>
      <w:r w:rsidR="00F00115">
        <w:t xml:space="preserve"> g/mol</w:t>
      </w:r>
      <w:r w:rsidR="00BC078D">
        <w:rPr>
          <w:rFonts w:eastAsiaTheme="minorEastAsia"/>
        </w:rPr>
        <w:t xml:space="preserve">, fabricado </w:t>
      </w:r>
      <w:r w:rsidR="00BC078D">
        <w:t>pela Sigma-Aldrich.</w:t>
      </w:r>
    </w:p>
    <w:p w:rsidR="00BC078D" w:rsidRPr="00C97579" w:rsidRDefault="00BC078D" w:rsidP="005D7F4E"/>
    <w:p w:rsidR="007A0FCB" w:rsidRPr="00276B98" w:rsidRDefault="000B661A" w:rsidP="000B661A">
      <w:pPr>
        <w:pStyle w:val="Nvel3-PG"/>
      </w:pPr>
      <w:bookmarkStart w:id="59" w:name="_Toc488678338"/>
      <w:r>
        <w:t>2.5.</w:t>
      </w:r>
      <w:r w:rsidR="007A0FCB" w:rsidRPr="00276B98">
        <w:t>2 Surfactantes</w:t>
      </w:r>
      <w:bookmarkEnd w:id="59"/>
    </w:p>
    <w:p w:rsidR="00027BFA" w:rsidRDefault="00620CB6" w:rsidP="00C75E31">
      <w:r>
        <w:t>De acordo com Wang</w:t>
      </w:r>
      <w:r w:rsidR="00C97579">
        <w:t xml:space="preserve"> </w:t>
      </w:r>
      <w:r>
        <w:t xml:space="preserve">et. al </w:t>
      </w:r>
      <w:r w:rsidR="009A35A0" w:rsidRPr="00620CB6">
        <w:t>[</w:t>
      </w:r>
      <w:r w:rsidRPr="00620CB6">
        <w:t>8</w:t>
      </w:r>
      <w:r w:rsidR="009A35A0" w:rsidRPr="00620CB6">
        <w:t>]</w:t>
      </w:r>
      <w:r w:rsidR="00C97579">
        <w:t xml:space="preserve">, a maior vantagem dos aditivos surfactantes em relação aos poliméricos as suas nanoestruturas que se </w:t>
      </w:r>
      <w:r w:rsidR="00027BFA">
        <w:t xml:space="preserve">regeneram </w:t>
      </w:r>
      <w:r w:rsidR="00C97579">
        <w:t xml:space="preserve">após serem desassociadas </w:t>
      </w:r>
      <w:r w:rsidR="00027BFA">
        <w:t>por uma alta tensão cisalhante. Essas nanoestruturas são as chamadas micelas.</w:t>
      </w:r>
    </w:p>
    <w:p w:rsidR="00027BFA" w:rsidRDefault="00027BFA" w:rsidP="00C75E31">
      <w:r>
        <w:t xml:space="preserve">Surfactantes possuem </w:t>
      </w:r>
      <w:r w:rsidRPr="00027BFA">
        <w:t>característica</w:t>
      </w:r>
      <w:r>
        <w:t xml:space="preserve">s hidrofóbica e </w:t>
      </w:r>
      <w:r w:rsidRPr="00027BFA">
        <w:t xml:space="preserve">hidrofílica em cada uma de suas pontas, </w:t>
      </w:r>
      <w:r>
        <w:t xml:space="preserve">respectivamente. A redução de arraste por surfactantes é impactada pelos </w:t>
      </w:r>
      <w:r w:rsidR="00402A61">
        <w:t>efeitos de</w:t>
      </w:r>
      <w:r w:rsidRPr="00027BFA">
        <w:t xml:space="preserve"> concentrações críticas, da forma e do tamanho das micelas na solução, </w:t>
      </w:r>
      <w:r w:rsidR="00402A61">
        <w:t xml:space="preserve">do cisalhamento. Existem duas </w:t>
      </w:r>
      <w:r w:rsidRPr="00027BFA">
        <w:t>principais categorias de surfactantes redutores de arraste: os não iônicos e iônicos. Este último se subdivide ainda em aniô</w:t>
      </w:r>
      <w:r w:rsidR="00402A61">
        <w:t xml:space="preserve">nico, catiônico e zwitteriônico </w:t>
      </w:r>
      <w:r w:rsidR="00620CB6" w:rsidRPr="00620CB6">
        <w:t>[8]</w:t>
      </w:r>
      <w:r w:rsidR="00402A61">
        <w:t>.</w:t>
      </w:r>
    </w:p>
    <w:p w:rsidR="00402A61" w:rsidRDefault="00402A61" w:rsidP="00C75E31"/>
    <w:p w:rsidR="00B240E7" w:rsidRPr="00984DD7" w:rsidRDefault="000B661A" w:rsidP="000B661A">
      <w:pPr>
        <w:pStyle w:val="Nvel3-PG"/>
      </w:pPr>
      <w:bookmarkStart w:id="60" w:name="_Toc488678339"/>
      <w:r>
        <w:t>2.5.</w:t>
      </w:r>
      <w:r w:rsidR="007A0FCB" w:rsidRPr="00984DD7">
        <w:t>3</w:t>
      </w:r>
      <w:r w:rsidR="00B240E7" w:rsidRPr="00984DD7">
        <w:t xml:space="preserve"> </w:t>
      </w:r>
      <w:r w:rsidR="007A0FCB" w:rsidRPr="00984DD7">
        <w:t>Fibras</w:t>
      </w:r>
      <w:bookmarkEnd w:id="60"/>
    </w:p>
    <w:p w:rsidR="007A0FCB" w:rsidRDefault="007A0FCB" w:rsidP="00C75E31">
      <w:r>
        <w:t xml:space="preserve">Soluções que utilizam altas concentrações de fibras como aditivo demostraram resultados de redução de arraste suficientemente alto em tubulações com uma razão comprimento-diâmetro </w:t>
      </w:r>
      <m:oMath>
        <m:d>
          <m:dPr>
            <m:ctrlPr>
              <w:rPr>
                <w:rFonts w:ascii="Cambria Math" w:hAnsi="Cambria Math"/>
                <w:i/>
              </w:rPr>
            </m:ctrlPr>
          </m:dPr>
          <m:e>
            <m:f>
              <m:fPr>
                <m:type m:val="skw"/>
                <m:ctrlPr>
                  <w:rPr>
                    <w:rFonts w:ascii="Cambria Math" w:hAnsi="Cambria Math"/>
                    <w:i/>
                  </w:rPr>
                </m:ctrlPr>
              </m:fPr>
              <m:num>
                <m:r>
                  <w:rPr>
                    <w:rFonts w:ascii="Cambria Math" w:hAnsi="Cambria Math"/>
                  </w:rPr>
                  <m:t>L</m:t>
                </m:r>
              </m:num>
              <m:den>
                <m:r>
                  <w:rPr>
                    <w:rFonts w:ascii="Cambria Math" w:hAnsi="Cambria Math"/>
                  </w:rPr>
                  <m:t>D</m:t>
                </m:r>
              </m:den>
            </m:f>
          </m:e>
        </m:d>
      </m:oMath>
      <w:r>
        <w:t xml:space="preserve"> entre 25 e 35 e, com o aumento d</w:t>
      </w:r>
      <w:r w:rsidRPr="00620CB6">
        <w:t xml:space="preserve">esta razão e a diminuição do diâmetro das fibras, o efeito tende a se intensificar </w:t>
      </w:r>
      <w:r w:rsidR="00620CB6" w:rsidRPr="00620CB6">
        <w:t>[32</w:t>
      </w:r>
      <w:r w:rsidRPr="00620CB6">
        <w:t>]</w:t>
      </w:r>
      <w:r w:rsidR="008C1EF4" w:rsidRPr="008C1EF4">
        <w:t>.</w:t>
      </w:r>
    </w:p>
    <w:p w:rsidR="000E3A3E" w:rsidRDefault="008C1EF4" w:rsidP="00C75E31">
      <w:r>
        <w:t xml:space="preserve">As fibras são quimicamente e mecanicamente estáveis em meio aquoso. Estas desempenham bem a função de redutor de arraste em </w:t>
      </w:r>
      <w:r w:rsidR="00481AD5">
        <w:t xml:space="preserve">uma grande faixa de </w:t>
      </w:r>
      <w:r w:rsidR="000E3A3E">
        <w:t>temperatura, por não variar as suas características com a mudança desta variável.</w:t>
      </w:r>
    </w:p>
    <w:p w:rsidR="000E3A3E" w:rsidRDefault="000E3A3E" w:rsidP="00C75E31">
      <w:r w:rsidRPr="000E3A3E">
        <w:t xml:space="preserve">É possível que o fenômeno de redução de arraste causada por Fibras </w:t>
      </w:r>
      <w:r>
        <w:t>esteja ligado a eliminação de vórtices turbulentos na região de maior turbulência</w:t>
      </w:r>
      <w:r w:rsidR="007914CA">
        <w:t xml:space="preserve">, entretanto, o uso </w:t>
      </w:r>
      <w:r w:rsidR="007914CA">
        <w:lastRenderedPageBreak/>
        <w:t>de fibras é muito limitado, pois a redução de arraste é promovida par</w:t>
      </w:r>
      <w:r w:rsidR="007914CA" w:rsidRPr="00620CB6">
        <w:t xml:space="preserve">a altas concentrações </w:t>
      </w:r>
      <w:r w:rsidR="00620CB6" w:rsidRPr="00620CB6">
        <w:t>[</w:t>
      </w:r>
      <w:r w:rsidR="00481AD5" w:rsidRPr="00620CB6">
        <w:t>3</w:t>
      </w:r>
      <w:r w:rsidR="00620CB6" w:rsidRPr="00620CB6">
        <w:t>2</w:t>
      </w:r>
      <w:r w:rsidR="00481AD5" w:rsidRPr="00620CB6">
        <w:t>], o que pode</w:t>
      </w:r>
      <w:r w:rsidR="007914CA" w:rsidRPr="00620CB6">
        <w:t xml:space="preserve"> ocasionar </w:t>
      </w:r>
      <w:r w:rsidR="00481AD5" w:rsidRPr="00620CB6">
        <w:t xml:space="preserve">o entupimento das tubulações </w:t>
      </w:r>
      <w:r w:rsidR="00620CB6" w:rsidRPr="00620CB6">
        <w:t>[33</w:t>
      </w:r>
      <w:r w:rsidR="007914CA" w:rsidRPr="00620CB6">
        <w:t>]</w:t>
      </w:r>
      <w:r w:rsidRPr="00620CB6">
        <w:t>.</w:t>
      </w:r>
    </w:p>
    <w:p w:rsidR="00F822E4" w:rsidRPr="00620CB6" w:rsidRDefault="00F822E4" w:rsidP="00C75E31"/>
    <w:p w:rsidR="00B240E7" w:rsidRPr="00620CB6" w:rsidRDefault="000B661A" w:rsidP="000B661A">
      <w:pPr>
        <w:pStyle w:val="Nvel3-PG"/>
      </w:pPr>
      <w:bookmarkStart w:id="61" w:name="_Toc488678340"/>
      <w:r>
        <w:t>2.5.</w:t>
      </w:r>
      <w:r w:rsidR="00B240E7" w:rsidRPr="009A35A0">
        <w:t>4 Blends</w:t>
      </w:r>
      <w:bookmarkEnd w:id="61"/>
    </w:p>
    <w:p w:rsidR="00706926" w:rsidRDefault="00706926" w:rsidP="000B661A">
      <w:r w:rsidRPr="00620CB6">
        <w:t>Eichelberger [</w:t>
      </w:r>
      <w:r w:rsidR="00620CB6" w:rsidRPr="00620CB6">
        <w:t>34</w:t>
      </w:r>
      <w:r w:rsidRPr="00620CB6">
        <w:t>]</w:t>
      </w:r>
      <w:r w:rsidRPr="00706926">
        <w:t>, em sua pesquisa, examinou o desempenho de</w:t>
      </w:r>
      <w:r>
        <w:t xml:space="preserve"> algumas</w:t>
      </w:r>
      <w:r w:rsidRPr="00706926">
        <w:t xml:space="preserve"> misturas</w:t>
      </w:r>
      <w:r>
        <w:t xml:space="preserve"> de</w:t>
      </w:r>
      <w:r w:rsidRPr="00706926">
        <w:t xml:space="preserve"> polímeros em soluções</w:t>
      </w:r>
      <w:r>
        <w:t xml:space="preserve"> aquosas</w:t>
      </w:r>
      <w:r w:rsidRPr="00706926">
        <w:t>.</w:t>
      </w:r>
      <w:r>
        <w:t xml:space="preserve"> Em geral, os </w:t>
      </w:r>
      <w:r w:rsidRPr="00706926">
        <w:t>blends</w:t>
      </w:r>
      <w:r>
        <w:t xml:space="preserve"> demonstraram três tipos de comportamento na redução de arraste. Alguns blends diminuíam o efeito redutor de arraste, outras aumentavam ou possuíam efeito nulo em relação aos resultados para os mesmos polímeros isolados.</w:t>
      </w:r>
      <w:r w:rsidR="008C6098">
        <w:t xml:space="preserve"> Este afirma ainda que o PEO demonstrou um comportamento neutro quando misturado. Todavia, para altas taxas de cisalhamento, este mesmo polímero possui a habilidade de retardar a taxa de degradação, demonstrando um ganho na redução de arraste.</w:t>
      </w:r>
    </w:p>
    <w:p w:rsidR="00B240E7" w:rsidRPr="00D8591E" w:rsidRDefault="008C6098" w:rsidP="007002A9">
      <w:r w:rsidRPr="00D8591E">
        <w:t>Soluções onde Fibras são misturadas à polímeros podem desempenhar uma redução percentual de arraste de até 95%</w:t>
      </w:r>
      <w:r w:rsidR="00B240E7" w:rsidRPr="00D8591E">
        <w:t xml:space="preserve">. </w:t>
      </w:r>
      <w:r w:rsidR="000566AA" w:rsidRPr="00D8591E">
        <w:t xml:space="preserve">Essa redução de arraste também representa um melhoramento </w:t>
      </w:r>
      <w:r w:rsidR="002922F2" w:rsidRPr="00D8591E">
        <w:t>de cerca de 15% além da curva de máxima redução de arraste para polímeros sozinhos. [</w:t>
      </w:r>
      <w:r w:rsidR="00D8591E" w:rsidRPr="00D8591E">
        <w:t>35</w:t>
      </w:r>
      <w:r w:rsidR="002922F2" w:rsidRPr="00D8591E">
        <w:t>]</w:t>
      </w:r>
    </w:p>
    <w:p w:rsidR="00402A61" w:rsidRDefault="00402A61" w:rsidP="007002A9"/>
    <w:p w:rsidR="00503EAD" w:rsidRPr="007002A9" w:rsidRDefault="000B661A" w:rsidP="007002A9">
      <w:pPr>
        <w:pStyle w:val="Nvel2-PG"/>
      </w:pPr>
      <w:bookmarkStart w:id="62" w:name="_Toc488678341"/>
      <w:r w:rsidRPr="007002A9">
        <w:t>2.6</w:t>
      </w:r>
      <w:r w:rsidR="00503EAD" w:rsidRPr="007002A9">
        <w:t xml:space="preserve"> Degradação e recuperação</w:t>
      </w:r>
      <w:bookmarkEnd w:id="62"/>
    </w:p>
    <w:p w:rsidR="00B12BD8" w:rsidRPr="00D8591E" w:rsidRDefault="00F35211" w:rsidP="007002A9">
      <w:r w:rsidRPr="007002A9">
        <w:t>A degradação poliméric</w:t>
      </w:r>
      <w:r w:rsidR="00EA539A" w:rsidRPr="007002A9">
        <w:t xml:space="preserve">a é uma das </w:t>
      </w:r>
      <w:r w:rsidRPr="007002A9">
        <w:t xml:space="preserve">principais questões a serem estudadas nas aplicações comerciais da redução de arraste pela adição de polímeros </w:t>
      </w:r>
      <w:r w:rsidR="00EA539A" w:rsidRPr="00D8591E">
        <w:t>[3</w:t>
      </w:r>
      <w:r w:rsidR="00D8591E" w:rsidRPr="00D8591E">
        <w:t>6</w:t>
      </w:r>
      <w:r w:rsidR="00EA539A" w:rsidRPr="00D8591E">
        <w:t>]</w:t>
      </w:r>
      <w:r w:rsidR="00EA539A" w:rsidRPr="007002A9">
        <w:t xml:space="preserve"> </w:t>
      </w:r>
      <w:r w:rsidRPr="007002A9">
        <w:t xml:space="preserve">e alguns parâmetros vem sendo estudados por diversos autores. </w:t>
      </w:r>
      <w:r w:rsidR="00367A8F" w:rsidRPr="007002A9">
        <w:t>E</w:t>
      </w:r>
      <w:r w:rsidRPr="007002A9">
        <w:t>xperimentos</w:t>
      </w:r>
      <w:r w:rsidR="00367A8F" w:rsidRPr="007002A9">
        <w:t xml:space="preserve"> atestam</w:t>
      </w:r>
      <w:r w:rsidRPr="007002A9">
        <w:t xml:space="preserve"> que a qualidade do solvente é muito importante no processo de degradação mecânica</w:t>
      </w:r>
      <w:r w:rsidR="00367A8F" w:rsidRPr="007002A9">
        <w:t>, sendo que</w:t>
      </w:r>
      <w:r w:rsidRPr="007002A9">
        <w:t xml:space="preserve"> </w:t>
      </w:r>
      <w:r w:rsidR="00367A8F" w:rsidRPr="007002A9">
        <w:t xml:space="preserve">a degradação em </w:t>
      </w:r>
      <w:r w:rsidRPr="007002A9">
        <w:t>solvente</w:t>
      </w:r>
      <w:r w:rsidR="00367A8F" w:rsidRPr="007002A9">
        <w:t>s de baixa qualidade</w:t>
      </w:r>
      <w:r w:rsidRPr="007002A9">
        <w:t xml:space="preserve"> </w:t>
      </w:r>
      <w:r w:rsidR="00367A8F" w:rsidRPr="007002A9">
        <w:t>a taxa de degradação nã</w:t>
      </w:r>
      <w:r w:rsidR="00367A8F" w:rsidRPr="00D8591E">
        <w:t xml:space="preserve">o </w:t>
      </w:r>
      <w:r w:rsidRPr="00D8591E">
        <w:t xml:space="preserve">depende da concentração </w:t>
      </w:r>
      <w:r w:rsidR="00367A8F" w:rsidRPr="00D8591E">
        <w:t xml:space="preserve">quando comparado a um </w:t>
      </w:r>
      <w:r w:rsidRPr="00D8591E">
        <w:t xml:space="preserve">solvente </w:t>
      </w:r>
      <w:r w:rsidR="00367A8F" w:rsidRPr="00D8591E">
        <w:t xml:space="preserve">de melhor qualidade </w:t>
      </w:r>
      <w:r w:rsidRPr="00D8591E">
        <w:t>[3</w:t>
      </w:r>
      <w:r w:rsidR="00D8591E" w:rsidRPr="00D8591E">
        <w:t>7</w:t>
      </w:r>
      <w:r w:rsidRPr="00D8591E">
        <w:t xml:space="preserve">]. </w:t>
      </w:r>
      <w:r w:rsidR="00367A8F" w:rsidRPr="00D8591E">
        <w:t>N</w:t>
      </w:r>
      <w:r w:rsidRPr="00D8591E">
        <w:t>úmero</w:t>
      </w:r>
      <w:r w:rsidR="00367A8F" w:rsidRPr="00D8591E">
        <w:t xml:space="preserve">s de Reynolds maiores </w:t>
      </w:r>
      <w:r w:rsidRPr="00D8591E">
        <w:t>intensifica</w:t>
      </w:r>
      <w:r w:rsidR="00B12BD8" w:rsidRPr="00D8591E">
        <w:t>m</w:t>
      </w:r>
      <w:r w:rsidRPr="00D8591E">
        <w:t xml:space="preserve"> a degradação mecânica, </w:t>
      </w:r>
      <w:r w:rsidR="00B12BD8" w:rsidRPr="00D8591E">
        <w:t>enquanto</w:t>
      </w:r>
      <w:r w:rsidRPr="00D8591E">
        <w:t xml:space="preserve"> o aumento da concentração e da massa molecular deixam a solução mai</w:t>
      </w:r>
      <w:r w:rsidR="00B12BD8" w:rsidRPr="00D8591E">
        <w:t>s resistente.</w:t>
      </w:r>
    </w:p>
    <w:p w:rsidR="005047ED" w:rsidRPr="007002A9" w:rsidRDefault="00B12BD8" w:rsidP="007002A9">
      <w:r w:rsidRPr="007002A9">
        <w:t xml:space="preserve">A maioria dos </w:t>
      </w:r>
      <w:r w:rsidR="00F35211" w:rsidRPr="007002A9">
        <w:t xml:space="preserve">autores </w:t>
      </w:r>
      <w:r w:rsidRPr="007002A9">
        <w:t xml:space="preserve">que </w:t>
      </w:r>
      <w:r w:rsidR="00F35211" w:rsidRPr="007002A9">
        <w:t xml:space="preserve">estudaram a degradação polimérica em um circuito fechado de tubulações circulares com auxílio de um pistão pneumático para transporte do </w:t>
      </w:r>
      <w:r w:rsidR="00F35211" w:rsidRPr="00D8591E">
        <w:t xml:space="preserve">fluido </w:t>
      </w:r>
      <w:r w:rsidRPr="00D8591E">
        <w:t xml:space="preserve">e chegaram a mesma conclusão. Com a utilização de </w:t>
      </w:r>
      <w:r w:rsidR="00F35211" w:rsidRPr="00D8591E">
        <w:t>bomba</w:t>
      </w:r>
      <w:r w:rsidRPr="00D8591E">
        <w:t>s</w:t>
      </w:r>
      <w:r w:rsidR="00F35211" w:rsidRPr="00D8591E">
        <w:t xml:space="preserve"> centrífuga</w:t>
      </w:r>
      <w:r w:rsidRPr="00D8591E">
        <w:t xml:space="preserve">s, </w:t>
      </w:r>
      <w:r w:rsidR="00F35211" w:rsidRPr="00D8591E">
        <w:t>[</w:t>
      </w:r>
      <w:r w:rsidR="00D8591E" w:rsidRPr="00D8591E">
        <w:t>38</w:t>
      </w:r>
      <w:r w:rsidR="00F35211" w:rsidRPr="00D8591E">
        <w:t xml:space="preserve">] </w:t>
      </w:r>
      <w:r w:rsidR="005047ED" w:rsidRPr="007002A9">
        <w:t>identificou que a ação agressiva</w:t>
      </w:r>
      <w:r w:rsidR="00F35211" w:rsidRPr="007002A9">
        <w:t xml:space="preserve"> </w:t>
      </w:r>
      <w:r w:rsidR="005047ED" w:rsidRPr="007002A9">
        <w:t xml:space="preserve">deste equipamento sob o escoamento, juntamente com a maior </w:t>
      </w:r>
      <w:r w:rsidR="00F35211" w:rsidRPr="007002A9">
        <w:t xml:space="preserve">quantidade de vezes que a solução polimérica </w:t>
      </w:r>
      <w:r w:rsidR="005047ED" w:rsidRPr="007002A9">
        <w:t xml:space="preserve">acaba </w:t>
      </w:r>
      <w:r w:rsidR="00F35211" w:rsidRPr="007002A9">
        <w:t>passa</w:t>
      </w:r>
      <w:r w:rsidR="005047ED" w:rsidRPr="007002A9">
        <w:t>ndo</w:t>
      </w:r>
      <w:r w:rsidR="00F35211" w:rsidRPr="007002A9">
        <w:t xml:space="preserve"> através do circuito</w:t>
      </w:r>
      <w:r w:rsidR="005047ED" w:rsidRPr="007002A9">
        <w:t xml:space="preserve">, </w:t>
      </w:r>
      <w:r w:rsidR="00F35211" w:rsidRPr="007002A9">
        <w:t xml:space="preserve">aumenta </w:t>
      </w:r>
      <w:r w:rsidR="005047ED" w:rsidRPr="007002A9">
        <w:t xml:space="preserve">significativamente </w:t>
      </w:r>
      <w:r w:rsidR="00F35211" w:rsidRPr="007002A9">
        <w:t>a degrad</w:t>
      </w:r>
      <w:r w:rsidRPr="007002A9">
        <w:t>ação</w:t>
      </w:r>
      <w:r w:rsidR="005047ED" w:rsidRPr="007002A9">
        <w:t xml:space="preserve"> mecânica.</w:t>
      </w:r>
    </w:p>
    <w:p w:rsidR="00F35211" w:rsidRPr="007002A9" w:rsidRDefault="005047ED" w:rsidP="007002A9">
      <w:r w:rsidRPr="00D8591E">
        <w:lastRenderedPageBreak/>
        <w:t xml:space="preserve">Pereira </w:t>
      </w:r>
      <w:r w:rsidR="00617912" w:rsidRPr="00D8591E">
        <w:t xml:space="preserve">et al. </w:t>
      </w:r>
      <w:r w:rsidR="00D8591E" w:rsidRPr="00D8591E">
        <w:t>[39</w:t>
      </w:r>
      <w:r w:rsidR="00617912" w:rsidRPr="00D8591E">
        <w:t xml:space="preserve">, </w:t>
      </w:r>
      <w:r w:rsidR="00D8591E" w:rsidRPr="00D8591E">
        <w:t>40</w:t>
      </w:r>
      <w:r w:rsidR="00F35211" w:rsidRPr="00D8591E">
        <w:t>]</w:t>
      </w:r>
      <w:r w:rsidR="00F35211" w:rsidRPr="007002A9">
        <w:t xml:space="preserve"> </w:t>
      </w:r>
      <w:r w:rsidR="00617912" w:rsidRPr="007002A9">
        <w:t xml:space="preserve">avalia a degradação em </w:t>
      </w:r>
      <w:r w:rsidR="00F35211" w:rsidRPr="007002A9">
        <w:t xml:space="preserve">três polímeros diferentes, </w:t>
      </w:r>
      <w:r w:rsidR="00617912" w:rsidRPr="007002A9">
        <w:t>sendo dois flexíveis (PEO e P</w:t>
      </w:r>
      <w:r w:rsidRPr="007002A9">
        <w:t>oliacrilamida</w:t>
      </w:r>
      <w:r w:rsidR="00617912" w:rsidRPr="007002A9">
        <w:t>)</w:t>
      </w:r>
      <w:r w:rsidR="00F35211" w:rsidRPr="007002A9">
        <w:t xml:space="preserve"> e um </w:t>
      </w:r>
      <w:r w:rsidRPr="007002A9">
        <w:t>rígido</w:t>
      </w:r>
      <w:r w:rsidR="00617912" w:rsidRPr="007002A9">
        <w:t xml:space="preserve"> (G</w:t>
      </w:r>
      <w:r w:rsidRPr="007002A9">
        <w:t>oma xantana</w:t>
      </w:r>
      <w:r w:rsidR="00617912" w:rsidRPr="007002A9">
        <w:t>)</w:t>
      </w:r>
      <w:r w:rsidR="006F20A4" w:rsidRPr="007002A9">
        <w:t>. Foi observado que a degradação mecânica não ocorre nas soluções do polímero rígido. O que aparenta ocorrer é a existência de agregados deste polímero, identificados no pré-cisalhamento, que vem a se desagregar durante o experimento.</w:t>
      </w:r>
    </w:p>
    <w:p w:rsidR="00617912" w:rsidRPr="007002A9" w:rsidRDefault="00617912" w:rsidP="007002A9"/>
    <w:p w:rsidR="00503EAD" w:rsidRPr="0095518B" w:rsidRDefault="0095518B" w:rsidP="000B661A">
      <w:pPr>
        <w:pStyle w:val="Nvel2-PG"/>
        <w:rPr>
          <w:color w:val="000000" w:themeColor="text1"/>
        </w:rPr>
      </w:pPr>
      <w:bookmarkStart w:id="63" w:name="_Toc488678342"/>
      <w:r w:rsidRPr="0095518B">
        <w:rPr>
          <w:color w:val="000000" w:themeColor="text1"/>
        </w:rPr>
        <w:t>2.7</w:t>
      </w:r>
      <w:r w:rsidR="000B661A" w:rsidRPr="0095518B">
        <w:rPr>
          <w:color w:val="000000" w:themeColor="text1"/>
        </w:rPr>
        <w:t xml:space="preserve"> Efeito</w:t>
      </w:r>
      <w:r w:rsidR="00503EAD" w:rsidRPr="0095518B">
        <w:rPr>
          <w:color w:val="000000" w:themeColor="text1"/>
        </w:rPr>
        <w:t xml:space="preserve"> da </w:t>
      </w:r>
      <w:r w:rsidR="000B661A" w:rsidRPr="0095518B">
        <w:rPr>
          <w:color w:val="000000" w:themeColor="text1"/>
        </w:rPr>
        <w:t>c</w:t>
      </w:r>
      <w:r w:rsidR="00503EAD" w:rsidRPr="0095518B">
        <w:rPr>
          <w:color w:val="000000" w:themeColor="text1"/>
        </w:rPr>
        <w:t>oncentração</w:t>
      </w:r>
      <w:bookmarkEnd w:id="63"/>
    </w:p>
    <w:p w:rsidR="00D8591E" w:rsidRDefault="0095518B" w:rsidP="00D8591E">
      <w:pPr>
        <w:rPr>
          <w:color w:val="000000" w:themeColor="text1"/>
        </w:rPr>
      </w:pPr>
      <w:r w:rsidRPr="0095518B">
        <w:rPr>
          <w:color w:val="000000" w:themeColor="text1"/>
        </w:rPr>
        <w:t>De uma maneira geral, a redução de arraste aumenta com o aumento da concentração de polímero, provavelmente devido ao aumento da quantidade de moléculas poliméricas no fluido, que amortecem um maior número de vórtices turbulentos. Porém a redução de arraste aumenta até uma concentração máxima, que é chamada de concentração de saturação, e após essa concentração, a redução de arraste diminui, devido ao aument</w:t>
      </w:r>
      <w:r w:rsidR="00D8591E">
        <w:rPr>
          <w:color w:val="000000" w:themeColor="text1"/>
        </w:rPr>
        <w:t>o da viscosidade da solução. [8</w:t>
      </w:r>
      <w:r w:rsidRPr="0095518B">
        <w:rPr>
          <w:color w:val="000000" w:themeColor="text1"/>
        </w:rPr>
        <w:t>]</w:t>
      </w:r>
    </w:p>
    <w:p w:rsidR="00D8591E" w:rsidRDefault="00D64BDD" w:rsidP="00D8591E">
      <w:pPr>
        <w:rPr>
          <w:color w:val="000000" w:themeColor="text1"/>
        </w:rPr>
      </w:pPr>
      <w:r>
        <w:rPr>
          <w:color w:val="000000" w:themeColor="text1"/>
        </w:rPr>
        <w:t xml:space="preserve">Com relação a diminuição do poder de redução de arraste, </w:t>
      </w:r>
      <w:r w:rsidR="00D8591E">
        <w:rPr>
          <w:color w:val="000000" w:themeColor="text1"/>
        </w:rPr>
        <w:t xml:space="preserve">Costalonga [36] relata </w:t>
      </w:r>
      <w:r>
        <w:rPr>
          <w:color w:val="000000" w:themeColor="text1"/>
        </w:rPr>
        <w:t xml:space="preserve">que com o aumento da </w:t>
      </w:r>
      <w:r w:rsidRPr="00D64BDD">
        <w:rPr>
          <w:color w:val="000000" w:themeColor="text1"/>
        </w:rPr>
        <w:t>concentração, a bomba interage muito m</w:t>
      </w:r>
      <w:r>
        <w:rPr>
          <w:color w:val="000000" w:themeColor="text1"/>
        </w:rPr>
        <w:t>ais com a solução, degradando-a</w:t>
      </w:r>
      <w:r w:rsidRPr="00D64BDD">
        <w:rPr>
          <w:color w:val="000000" w:themeColor="text1"/>
        </w:rPr>
        <w:t>.</w:t>
      </w:r>
      <w:r>
        <w:rPr>
          <w:color w:val="000000" w:themeColor="text1"/>
        </w:rPr>
        <w:t xml:space="preserve"> </w:t>
      </w:r>
      <w:r w:rsidRPr="00D64BDD">
        <w:rPr>
          <w:color w:val="000000" w:themeColor="text1"/>
        </w:rPr>
        <w:t>Assim, quanto mais concentrada é a solução, maior é a influên</w:t>
      </w:r>
      <w:r>
        <w:rPr>
          <w:color w:val="000000" w:themeColor="text1"/>
        </w:rPr>
        <w:t>cia da bomba sobre a degradação. Este efeito</w:t>
      </w:r>
      <w:r w:rsidR="00D8591E" w:rsidRPr="00D8591E">
        <w:rPr>
          <w:color w:val="000000" w:themeColor="text1"/>
        </w:rPr>
        <w:t xml:space="preserve"> é observado no polímero rígido, porém co</w:t>
      </w:r>
      <w:r>
        <w:rPr>
          <w:color w:val="000000" w:themeColor="text1"/>
        </w:rPr>
        <w:t xml:space="preserve">m menos influência. Soares et al [41] </w:t>
      </w:r>
      <w:r w:rsidR="00D8591E" w:rsidRPr="00D8591E">
        <w:rPr>
          <w:color w:val="000000" w:themeColor="text1"/>
        </w:rPr>
        <w:t>obs</w:t>
      </w:r>
      <w:r>
        <w:rPr>
          <w:color w:val="000000" w:themeColor="text1"/>
        </w:rPr>
        <w:t xml:space="preserve">ervou a </w:t>
      </w:r>
      <w:r w:rsidR="00D8591E" w:rsidRPr="00D8591E">
        <w:rPr>
          <w:color w:val="000000" w:themeColor="text1"/>
        </w:rPr>
        <w:t>influência de uma bomba centrífuga na redução de arrast</w:t>
      </w:r>
      <w:r>
        <w:rPr>
          <w:color w:val="000000" w:themeColor="text1"/>
        </w:rPr>
        <w:t>e para soluções de PEO, PAM e Goma Xantana. Esta última, por apresentar</w:t>
      </w:r>
      <w:r w:rsidR="00D8591E" w:rsidRPr="00D8591E">
        <w:rPr>
          <w:color w:val="000000" w:themeColor="text1"/>
        </w:rPr>
        <w:t xml:space="preserve"> moléculas rígidas</w:t>
      </w:r>
      <w:r>
        <w:rPr>
          <w:color w:val="000000" w:themeColor="text1"/>
        </w:rPr>
        <w:t>, sofreu menor degradação</w:t>
      </w:r>
      <w:r w:rsidR="00D8591E" w:rsidRPr="00D8591E">
        <w:rPr>
          <w:color w:val="000000" w:themeColor="text1"/>
        </w:rPr>
        <w:t>.</w:t>
      </w:r>
    </w:p>
    <w:p w:rsidR="00DC5F69" w:rsidRDefault="00DC5F69" w:rsidP="00D8591E">
      <w:pPr>
        <w:rPr>
          <w:rFonts w:cs="Arial"/>
          <w:szCs w:val="24"/>
        </w:rPr>
      </w:pPr>
      <w:r w:rsidRPr="00E25327">
        <w:rPr>
          <w:rFonts w:cs="Arial"/>
          <w:szCs w:val="24"/>
        </w:rPr>
        <w:t>Kamel e Shah [43]</w:t>
      </w:r>
      <w:r>
        <w:rPr>
          <w:rFonts w:cs="Arial"/>
          <w:szCs w:val="24"/>
        </w:rPr>
        <w:t xml:space="preserve"> investigaram o efeito de diferentes concentrações do polímero ASP-700 em água a temperatura ambiente e observaram que, com exceção da menor concentração, todas as soluções desempenharam a redução de arraste de forma satisfatória. Também foi identificado que concentrações acima da ótima (neste caso 0,07%) tendem a diminuir o potencial de redução de arraste da solução devido ao aumento de sua viscosidade.</w:t>
      </w:r>
    </w:p>
    <w:p w:rsidR="00DC5F69" w:rsidRPr="00DC5F69" w:rsidRDefault="00DC5F69" w:rsidP="007F0FFC">
      <w:pPr>
        <w:tabs>
          <w:tab w:val="right" w:pos="9071"/>
        </w:tabs>
        <w:rPr>
          <w:rFonts w:cs="Arial"/>
          <w:szCs w:val="24"/>
        </w:rPr>
      </w:pPr>
      <w:r>
        <w:rPr>
          <w:rFonts w:cs="Arial"/>
          <w:szCs w:val="24"/>
        </w:rPr>
        <w:t xml:space="preserve">De uma maneira geral, o aumento </w:t>
      </w:r>
      <w:r w:rsidR="007F0FFC">
        <w:rPr>
          <w:rFonts w:cs="Arial"/>
          <w:szCs w:val="24"/>
        </w:rPr>
        <w:t xml:space="preserve">do número do número de Reynolds aumenta a redução de arraste. No entanto isto é válido apenas para valores de Reynolds que não chegam a causar a degradação polimérica. Este fenômeno pode ser observado para a curva de concentração igual a 0,01% na </w:t>
      </w:r>
      <w:r w:rsidR="007F0FFC">
        <w:rPr>
          <w:rFonts w:cs="Arial"/>
          <w:szCs w:val="24"/>
        </w:rPr>
        <w:fldChar w:fldCharType="begin"/>
      </w:r>
      <w:r w:rsidR="007F0FFC">
        <w:rPr>
          <w:rFonts w:cs="Arial"/>
          <w:szCs w:val="24"/>
        </w:rPr>
        <w:instrText xml:space="preserve"> REF _Ref488630033 \h </w:instrText>
      </w:r>
      <w:r w:rsidR="007F0FFC">
        <w:rPr>
          <w:rFonts w:cs="Arial"/>
          <w:szCs w:val="24"/>
        </w:rPr>
      </w:r>
      <w:r w:rsidR="007F0FFC">
        <w:rPr>
          <w:rFonts w:cs="Arial"/>
          <w:szCs w:val="24"/>
        </w:rPr>
        <w:fldChar w:fldCharType="separate"/>
      </w:r>
      <w:r w:rsidR="007F0FFC">
        <w:t xml:space="preserve">Figura </w:t>
      </w:r>
      <w:r w:rsidR="007F0FFC">
        <w:rPr>
          <w:noProof/>
        </w:rPr>
        <w:t>10</w:t>
      </w:r>
      <w:r w:rsidR="007F0FFC">
        <w:rPr>
          <w:rFonts w:cs="Arial"/>
          <w:szCs w:val="24"/>
        </w:rPr>
        <w:fldChar w:fldCharType="end"/>
      </w:r>
      <w:r w:rsidR="007F0FFC">
        <w:rPr>
          <w:rFonts w:cs="Arial"/>
          <w:szCs w:val="24"/>
        </w:rPr>
        <w:t xml:space="preserve">. </w:t>
      </w:r>
    </w:p>
    <w:p w:rsidR="00D40ECB" w:rsidRDefault="00D40ECB" w:rsidP="00D40ECB">
      <w:pPr>
        <w:pStyle w:val="Figura-PG"/>
      </w:pPr>
      <w:bookmarkStart w:id="64" w:name="_Ref488630033"/>
    </w:p>
    <w:p w:rsidR="00D40ECB" w:rsidRDefault="00D40ECB" w:rsidP="00D40ECB">
      <w:pPr>
        <w:pStyle w:val="Figura-PG"/>
      </w:pPr>
    </w:p>
    <w:p w:rsidR="00D40ECB" w:rsidRDefault="00D40ECB" w:rsidP="00D40ECB">
      <w:pPr>
        <w:pStyle w:val="Figura-PG"/>
      </w:pPr>
    </w:p>
    <w:p w:rsidR="00DC5F69" w:rsidRDefault="00DC5F69" w:rsidP="005566CA">
      <w:pPr>
        <w:pStyle w:val="Figura-PG"/>
      </w:pPr>
      <w:bookmarkStart w:id="65" w:name="_Toc488706051"/>
      <w:r>
        <w:lastRenderedPageBreak/>
        <w:t xml:space="preserve">Figura </w:t>
      </w:r>
      <w:fldSimple w:instr=" SEQ Figura \* ARABIC ">
        <w:r w:rsidR="004C240D">
          <w:rPr>
            <w:noProof/>
          </w:rPr>
          <w:t>10</w:t>
        </w:r>
      </w:fldSimple>
      <w:bookmarkEnd w:id="64"/>
      <w:r>
        <w:t xml:space="preserve"> </w:t>
      </w:r>
      <w:r w:rsidR="00D40ECB">
        <w:t>-</w:t>
      </w:r>
      <w:r>
        <w:t xml:space="preserve"> </w:t>
      </w:r>
      <w:r w:rsidR="007F0FFC">
        <w:t>Efeito da concentração de ASP-700 diluído em água nas características de DR%.</w:t>
      </w:r>
      <w:bookmarkEnd w:id="65"/>
    </w:p>
    <w:p w:rsidR="00DC5F69" w:rsidRDefault="00DC5F69" w:rsidP="005566CA">
      <w:pPr>
        <w:jc w:val="center"/>
        <w:rPr>
          <w:color w:val="000000" w:themeColor="text1"/>
        </w:rPr>
      </w:pPr>
      <w:r>
        <w:rPr>
          <w:noProof/>
          <w:lang w:eastAsia="pt-BR"/>
        </w:rPr>
        <w:drawing>
          <wp:inline distT="0" distB="0" distL="0" distR="0" wp14:anchorId="5D1C1FF5" wp14:editId="1B02F3FD">
            <wp:extent cx="4998930" cy="3381375"/>
            <wp:effectExtent l="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17005" cy="3393601"/>
                    </a:xfrm>
                    <a:prstGeom prst="rect">
                      <a:avLst/>
                    </a:prstGeom>
                  </pic:spPr>
                </pic:pic>
              </a:graphicData>
            </a:graphic>
          </wp:inline>
        </w:drawing>
      </w:r>
    </w:p>
    <w:p w:rsidR="006F20A4" w:rsidRDefault="007F0FFC" w:rsidP="005566CA">
      <w:pPr>
        <w:tabs>
          <w:tab w:val="left" w:pos="8789"/>
        </w:tabs>
        <w:autoSpaceDE w:val="0"/>
        <w:autoSpaceDN w:val="0"/>
        <w:adjustRightInd w:val="0"/>
        <w:contextualSpacing w:val="0"/>
        <w:jc w:val="center"/>
        <w:rPr>
          <w:rFonts w:cs="Arial"/>
          <w:szCs w:val="24"/>
        </w:rPr>
      </w:pPr>
      <w:r>
        <w:rPr>
          <w:rFonts w:cs="Arial"/>
          <w:szCs w:val="24"/>
        </w:rPr>
        <w:t>Fonte: (KAMEL e SHAH, 2009)</w:t>
      </w:r>
    </w:p>
    <w:p w:rsidR="007F0FFC" w:rsidRPr="007F0FFC" w:rsidRDefault="007F0FFC" w:rsidP="005566CA">
      <w:pPr>
        <w:tabs>
          <w:tab w:val="left" w:pos="8789"/>
        </w:tabs>
        <w:autoSpaceDE w:val="0"/>
        <w:autoSpaceDN w:val="0"/>
        <w:adjustRightInd w:val="0"/>
        <w:contextualSpacing w:val="0"/>
        <w:jc w:val="center"/>
        <w:rPr>
          <w:rFonts w:cs="Arial"/>
          <w:szCs w:val="24"/>
        </w:rPr>
      </w:pPr>
    </w:p>
    <w:p w:rsidR="00503EAD" w:rsidRDefault="008E2AA9" w:rsidP="005566CA">
      <w:pPr>
        <w:pStyle w:val="Nvel2-PG"/>
      </w:pPr>
      <w:bookmarkStart w:id="66" w:name="_Toc488678343"/>
      <w:r>
        <w:t>2.</w:t>
      </w:r>
      <w:r w:rsidR="0095518B">
        <w:t>8</w:t>
      </w:r>
      <w:r w:rsidR="000B661A">
        <w:t xml:space="preserve"> Efeito da t</w:t>
      </w:r>
      <w:r w:rsidR="00503EAD" w:rsidRPr="00503EAD">
        <w:t>emperatura</w:t>
      </w:r>
      <w:bookmarkEnd w:id="66"/>
      <w:r w:rsidR="00503EAD" w:rsidRPr="00503EAD">
        <w:t xml:space="preserve"> </w:t>
      </w:r>
    </w:p>
    <w:p w:rsidR="008E2AA9" w:rsidRDefault="00E25327" w:rsidP="005566CA">
      <w:pPr>
        <w:autoSpaceDE w:val="0"/>
        <w:autoSpaceDN w:val="0"/>
        <w:adjustRightInd w:val="0"/>
        <w:contextualSpacing w:val="0"/>
        <w:rPr>
          <w:rFonts w:cs="Arial"/>
          <w:szCs w:val="24"/>
        </w:rPr>
      </w:pPr>
      <w:r w:rsidRPr="00E25327">
        <w:rPr>
          <w:rFonts w:cs="Arial"/>
          <w:szCs w:val="24"/>
        </w:rPr>
        <w:t>Kamel e Shah [43</w:t>
      </w:r>
      <w:r w:rsidR="00D641DE" w:rsidRPr="00E25327">
        <w:rPr>
          <w:rFonts w:cs="Arial"/>
          <w:szCs w:val="24"/>
        </w:rPr>
        <w:t xml:space="preserve">] </w:t>
      </w:r>
      <w:r w:rsidR="008E2AA9" w:rsidRPr="00E25327">
        <w:rPr>
          <w:rFonts w:cs="Arial"/>
          <w:szCs w:val="24"/>
        </w:rPr>
        <w:t>analis</w:t>
      </w:r>
      <w:r w:rsidR="00D641DE" w:rsidRPr="00E25327">
        <w:rPr>
          <w:rFonts w:cs="Arial"/>
          <w:szCs w:val="24"/>
        </w:rPr>
        <w:t>aram</w:t>
      </w:r>
      <w:r w:rsidR="008E2AA9" w:rsidRPr="00E25327">
        <w:rPr>
          <w:rFonts w:cs="Arial"/>
          <w:szCs w:val="24"/>
        </w:rPr>
        <w:t xml:space="preserve"> os efeitos da temperatura da solução no efeito de </w:t>
      </w:r>
      <w:r w:rsidR="008E2AA9">
        <w:rPr>
          <w:rFonts w:cs="Arial"/>
          <w:szCs w:val="24"/>
        </w:rPr>
        <w:t>redução de arraste em tubulações circulares por meio da preparação de soluções contendo os polímeros ASP-700 e ASP-820. Essas soluções foram preparadas a três temperaturas diferentes, 72°F, 100°F e 130°F (22,2°C, 37,78°C e 54,4°C) respectivamente. Os efeitos da temperatura na viscosidade de cada solução foram calculados para que se obtivesse um valor preciso de redução de arraste.</w:t>
      </w:r>
    </w:p>
    <w:p w:rsidR="00D40ECB" w:rsidRDefault="008E2AA9" w:rsidP="005566CA">
      <w:pPr>
        <w:autoSpaceDE w:val="0"/>
        <w:autoSpaceDN w:val="0"/>
        <w:adjustRightInd w:val="0"/>
        <w:contextualSpacing w:val="0"/>
        <w:rPr>
          <w:rFonts w:cs="Arial"/>
          <w:szCs w:val="24"/>
        </w:rPr>
      </w:pPr>
      <w:r w:rsidRPr="00E25327">
        <w:rPr>
          <w:rFonts w:cs="Arial"/>
          <w:szCs w:val="24"/>
        </w:rPr>
        <w:t xml:space="preserve">Dentre as temperaturas analisadas, os resultados do experimento de </w:t>
      </w:r>
      <w:r w:rsidR="00D641DE" w:rsidRPr="00E25327">
        <w:rPr>
          <w:rFonts w:cs="Arial"/>
          <w:szCs w:val="24"/>
        </w:rPr>
        <w:t>[</w:t>
      </w:r>
      <w:r w:rsidR="00D43212">
        <w:rPr>
          <w:rFonts w:cs="Arial"/>
          <w:szCs w:val="24"/>
        </w:rPr>
        <w:t>43</w:t>
      </w:r>
      <w:r w:rsidR="00D641DE" w:rsidRPr="00E25327">
        <w:rPr>
          <w:rFonts w:cs="Arial"/>
          <w:szCs w:val="24"/>
        </w:rPr>
        <w:t>]</w:t>
      </w:r>
      <w:r w:rsidRPr="00E25327">
        <w:rPr>
          <w:rFonts w:cs="Arial"/>
          <w:szCs w:val="24"/>
        </w:rPr>
        <w:t xml:space="preserve"> demonstram </w:t>
      </w:r>
      <w:r>
        <w:rPr>
          <w:rFonts w:cs="Arial"/>
          <w:szCs w:val="24"/>
        </w:rPr>
        <w:t>que a maior redução de arraste é atingida à temperatura ambiente. Há um decréscimo no efeito de redução de arraste para temperaturas maiores, sendo este efeito mais severo em números de Reynolds menores, pois conforme o acréscimo no número de Reynolds a intensidade da turbulência aumenta, ofuscando o efeito da tem</w:t>
      </w:r>
      <w:r w:rsidR="00F822E4">
        <w:rPr>
          <w:rFonts w:cs="Arial"/>
          <w:szCs w:val="24"/>
        </w:rPr>
        <w:t xml:space="preserve">peratura na redução de arraste. </w:t>
      </w:r>
      <w:r>
        <w:rPr>
          <w:rFonts w:cs="Arial"/>
          <w:szCs w:val="24"/>
        </w:rPr>
        <w:t xml:space="preserve">O efeito da temperatura nas características de redução de arraste dos polímeros estudados pode ser visto na </w:t>
      </w:r>
      <w:r w:rsidR="0022508E">
        <w:rPr>
          <w:rFonts w:cs="Arial"/>
          <w:color w:val="FF0000"/>
          <w:szCs w:val="24"/>
        </w:rPr>
        <w:fldChar w:fldCharType="begin"/>
      </w:r>
      <w:r w:rsidR="0022508E">
        <w:rPr>
          <w:rFonts w:cs="Arial"/>
          <w:szCs w:val="24"/>
        </w:rPr>
        <w:instrText xml:space="preserve"> REF _Ref488098723 \h </w:instrText>
      </w:r>
      <w:r w:rsidR="0022508E">
        <w:rPr>
          <w:rFonts w:cs="Arial"/>
          <w:color w:val="FF0000"/>
          <w:szCs w:val="24"/>
        </w:rPr>
      </w:r>
      <w:r w:rsidR="0022508E">
        <w:rPr>
          <w:rFonts w:cs="Arial"/>
          <w:color w:val="FF0000"/>
          <w:szCs w:val="24"/>
        </w:rPr>
        <w:fldChar w:fldCharType="separate"/>
      </w:r>
      <w:r w:rsidR="007F0FFC" w:rsidRPr="002855BE">
        <w:t xml:space="preserve">Figura </w:t>
      </w:r>
      <w:r w:rsidR="007F0FFC">
        <w:rPr>
          <w:noProof/>
        </w:rPr>
        <w:t>11</w:t>
      </w:r>
      <w:r w:rsidR="0022508E">
        <w:rPr>
          <w:rFonts w:cs="Arial"/>
          <w:color w:val="FF0000"/>
          <w:szCs w:val="24"/>
        </w:rPr>
        <w:fldChar w:fldCharType="end"/>
      </w:r>
      <w:r w:rsidR="007F0FFC">
        <w:rPr>
          <w:rFonts w:cs="Arial"/>
          <w:szCs w:val="24"/>
        </w:rPr>
        <w:t>.</w:t>
      </w:r>
    </w:p>
    <w:p w:rsidR="00624BC8" w:rsidRDefault="00624BC8" w:rsidP="005566CA">
      <w:pPr>
        <w:autoSpaceDE w:val="0"/>
        <w:autoSpaceDN w:val="0"/>
        <w:adjustRightInd w:val="0"/>
        <w:contextualSpacing w:val="0"/>
        <w:rPr>
          <w:rFonts w:cs="Arial"/>
          <w:szCs w:val="24"/>
        </w:rPr>
      </w:pPr>
    </w:p>
    <w:p w:rsidR="00D40ECB" w:rsidRPr="00F822E4" w:rsidRDefault="00D40ECB" w:rsidP="005566CA">
      <w:pPr>
        <w:autoSpaceDE w:val="0"/>
        <w:autoSpaceDN w:val="0"/>
        <w:adjustRightInd w:val="0"/>
        <w:contextualSpacing w:val="0"/>
        <w:rPr>
          <w:rFonts w:cs="Arial"/>
          <w:szCs w:val="24"/>
        </w:rPr>
      </w:pPr>
    </w:p>
    <w:p w:rsidR="008E2AA9" w:rsidRPr="002855BE" w:rsidRDefault="008E2AA9" w:rsidP="006015E4">
      <w:pPr>
        <w:pStyle w:val="Figura-PG"/>
      </w:pPr>
      <w:bookmarkStart w:id="67" w:name="_Ref488098723"/>
      <w:bookmarkStart w:id="68" w:name="_Toc488706052"/>
      <w:r w:rsidRPr="002855BE">
        <w:lastRenderedPageBreak/>
        <w:t xml:space="preserve">Figura </w:t>
      </w:r>
      <w:fldSimple w:instr=" SEQ Figura \* ARABIC ">
        <w:r w:rsidR="004C240D">
          <w:rPr>
            <w:noProof/>
          </w:rPr>
          <w:t>11</w:t>
        </w:r>
      </w:fldSimple>
      <w:bookmarkEnd w:id="67"/>
      <w:r w:rsidR="00450291">
        <w:t xml:space="preserve"> - </w:t>
      </w:r>
      <w:r w:rsidRPr="002855BE">
        <w:t xml:space="preserve">Comparação </w:t>
      </w:r>
      <w:r w:rsidR="00D641DE" w:rsidRPr="002855BE">
        <w:t xml:space="preserve">da redução de arraste </w:t>
      </w:r>
      <w:r w:rsidRPr="002855BE">
        <w:t>entre os polímeros ASP-700 e ASP-820 a diferentes temperaturas.</w:t>
      </w:r>
      <w:bookmarkEnd w:id="68"/>
    </w:p>
    <w:p w:rsidR="008E2AA9" w:rsidRDefault="008E2AA9" w:rsidP="00F822E4">
      <w:pPr>
        <w:tabs>
          <w:tab w:val="left" w:pos="8789"/>
        </w:tabs>
        <w:autoSpaceDE w:val="0"/>
        <w:autoSpaceDN w:val="0"/>
        <w:adjustRightInd w:val="0"/>
        <w:spacing w:after="0"/>
        <w:contextualSpacing w:val="0"/>
        <w:jc w:val="center"/>
        <w:rPr>
          <w:rFonts w:cs="Arial"/>
          <w:szCs w:val="24"/>
        </w:rPr>
      </w:pPr>
      <w:r>
        <w:rPr>
          <w:noProof/>
          <w:lang w:eastAsia="pt-BR"/>
        </w:rPr>
        <w:drawing>
          <wp:inline distT="0" distB="0" distL="0" distR="0" wp14:anchorId="5B56FFA9" wp14:editId="339ACC90">
            <wp:extent cx="4915886" cy="32040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8" t="7378" r="188" b="7517"/>
                    <a:stretch/>
                  </pic:blipFill>
                  <pic:spPr bwMode="auto">
                    <a:xfrm>
                      <a:off x="0" y="0"/>
                      <a:ext cx="4915886" cy="3204000"/>
                    </a:xfrm>
                    <a:prstGeom prst="rect">
                      <a:avLst/>
                    </a:prstGeom>
                    <a:ln>
                      <a:noFill/>
                    </a:ln>
                    <a:extLst>
                      <a:ext uri="{53640926-AAD7-44D8-BBD7-CCE9431645EC}">
                        <a14:shadowObscured xmlns:a14="http://schemas.microsoft.com/office/drawing/2010/main"/>
                      </a:ext>
                    </a:extLst>
                  </pic:spPr>
                </pic:pic>
              </a:graphicData>
            </a:graphic>
          </wp:inline>
        </w:drawing>
      </w:r>
    </w:p>
    <w:p w:rsidR="006015E4" w:rsidRDefault="006015E4" w:rsidP="00D641DE">
      <w:pPr>
        <w:tabs>
          <w:tab w:val="left" w:pos="8789"/>
        </w:tabs>
        <w:autoSpaceDE w:val="0"/>
        <w:autoSpaceDN w:val="0"/>
        <w:adjustRightInd w:val="0"/>
        <w:contextualSpacing w:val="0"/>
        <w:jc w:val="center"/>
        <w:rPr>
          <w:rFonts w:cs="Arial"/>
          <w:szCs w:val="24"/>
        </w:rPr>
      </w:pPr>
      <w:r>
        <w:rPr>
          <w:rFonts w:cs="Arial"/>
          <w:szCs w:val="24"/>
        </w:rPr>
        <w:t>Fonte: (KAMEL e SHAH, 2009)</w:t>
      </w:r>
    </w:p>
    <w:p w:rsidR="008E2AA9" w:rsidRPr="00E25327" w:rsidRDefault="008E2AA9" w:rsidP="008E2AA9">
      <w:pPr>
        <w:autoSpaceDE w:val="0"/>
        <w:autoSpaceDN w:val="0"/>
        <w:adjustRightInd w:val="0"/>
        <w:contextualSpacing w:val="0"/>
        <w:rPr>
          <w:rFonts w:cs="Arial"/>
          <w:szCs w:val="24"/>
        </w:rPr>
      </w:pPr>
      <w:r w:rsidRPr="00E25327">
        <w:rPr>
          <w:rFonts w:cs="Arial"/>
          <w:szCs w:val="24"/>
        </w:rPr>
        <w:t xml:space="preserve">Diversos fatores decorrentes do aumento da temperatura podem influenciar em um decréscimo no efeito de redução de arraste. Kamel </w:t>
      </w:r>
      <w:r w:rsidR="00D641DE" w:rsidRPr="00E25327">
        <w:rPr>
          <w:rFonts w:cs="Arial"/>
          <w:szCs w:val="24"/>
        </w:rPr>
        <w:t xml:space="preserve">e Shah </w:t>
      </w:r>
      <w:r w:rsidR="006015E4" w:rsidRPr="00E25327">
        <w:rPr>
          <w:rFonts w:cs="Arial"/>
          <w:szCs w:val="24"/>
        </w:rPr>
        <w:t>[</w:t>
      </w:r>
      <w:r w:rsidR="00E25327">
        <w:rPr>
          <w:rFonts w:cs="Arial"/>
          <w:szCs w:val="24"/>
        </w:rPr>
        <w:t>43</w:t>
      </w:r>
      <w:r w:rsidR="006015E4" w:rsidRPr="00E25327">
        <w:rPr>
          <w:rFonts w:cs="Arial"/>
          <w:szCs w:val="24"/>
        </w:rPr>
        <w:t>] (</w:t>
      </w:r>
      <w:r w:rsidR="00D641DE" w:rsidRPr="00E25327">
        <w:rPr>
          <w:rFonts w:cs="Arial"/>
          <w:szCs w:val="24"/>
        </w:rPr>
        <w:t>apud</w:t>
      </w:r>
      <w:r w:rsidR="006015E4" w:rsidRPr="00E25327">
        <w:rPr>
          <w:rFonts w:cs="Arial"/>
          <w:szCs w:val="24"/>
        </w:rPr>
        <w:t>.</w:t>
      </w:r>
      <w:r w:rsidR="00D641DE" w:rsidRPr="00E25327">
        <w:rPr>
          <w:rFonts w:cs="Arial"/>
          <w:szCs w:val="24"/>
        </w:rPr>
        <w:t xml:space="preserve"> </w:t>
      </w:r>
      <w:r w:rsidR="006015E4" w:rsidRPr="00E25327">
        <w:rPr>
          <w:rFonts w:cs="Arial"/>
          <w:szCs w:val="24"/>
        </w:rPr>
        <w:t>CLIFFORD e</w:t>
      </w:r>
      <w:r w:rsidRPr="00E25327">
        <w:rPr>
          <w:rFonts w:cs="Arial"/>
          <w:szCs w:val="24"/>
        </w:rPr>
        <w:t xml:space="preserve"> SORBIE, 1985) indica</w:t>
      </w:r>
      <w:r w:rsidR="00711D1F" w:rsidRPr="00E25327">
        <w:rPr>
          <w:rFonts w:cs="Arial"/>
          <w:szCs w:val="24"/>
        </w:rPr>
        <w:t>m</w:t>
      </w:r>
      <w:r w:rsidRPr="00E25327">
        <w:rPr>
          <w:rFonts w:cs="Arial"/>
          <w:szCs w:val="24"/>
        </w:rPr>
        <w:t xml:space="preserve"> que a deterioração da interação solvente-soluto diminui o tamanho da macromolécula, minando o raio hidrodinâmico das moléculas. Desta forma, o polímero sofre mudanças em seu estado de conformação. Outro fator é a redução do poder solvente da água em altas temperaturas. As ligações de hidrogênio são reduzidas, reduzindo as interações entre o polímero e o solvente, bem como no decréscimo do raio de giração da molécula. Portanto, a viscosidade intrínseca diminui com o aumento da temperatura, reduzindo</w:t>
      </w:r>
      <w:r w:rsidR="00711D1F" w:rsidRPr="00E25327">
        <w:rPr>
          <w:rFonts w:cs="Arial"/>
          <w:szCs w:val="24"/>
        </w:rPr>
        <w:t xml:space="preserve"> o efeito de redução de arraste </w:t>
      </w:r>
      <w:r w:rsidR="00D43212">
        <w:rPr>
          <w:rFonts w:cs="Arial"/>
          <w:szCs w:val="24"/>
        </w:rPr>
        <w:t>[29</w:t>
      </w:r>
      <w:r w:rsidR="00711D1F" w:rsidRPr="00E25327">
        <w:rPr>
          <w:rFonts w:cs="Arial"/>
          <w:szCs w:val="24"/>
        </w:rPr>
        <w:t>]</w:t>
      </w:r>
      <w:r w:rsidRPr="00E25327">
        <w:rPr>
          <w:rFonts w:cs="Arial"/>
          <w:szCs w:val="24"/>
        </w:rPr>
        <w:t>.</w:t>
      </w:r>
    </w:p>
    <w:p w:rsidR="008E2AA9" w:rsidRDefault="008E2AA9" w:rsidP="008E2AA9">
      <w:pPr>
        <w:autoSpaceDE w:val="0"/>
        <w:autoSpaceDN w:val="0"/>
        <w:adjustRightInd w:val="0"/>
        <w:contextualSpacing w:val="0"/>
        <w:rPr>
          <w:rFonts w:cs="Arial"/>
          <w:szCs w:val="24"/>
        </w:rPr>
      </w:pPr>
      <w:r w:rsidRPr="007B7B53">
        <w:rPr>
          <w:rFonts w:cs="Arial"/>
          <w:szCs w:val="24"/>
        </w:rPr>
        <w:t xml:space="preserve">Na planta estudada neste </w:t>
      </w:r>
      <w:r w:rsidR="007B7B53">
        <w:rPr>
          <w:rFonts w:cs="Arial"/>
          <w:szCs w:val="24"/>
        </w:rPr>
        <w:t>trabalho</w:t>
      </w:r>
      <w:r w:rsidRPr="007B7B53">
        <w:rPr>
          <w:rFonts w:cs="Arial"/>
          <w:szCs w:val="24"/>
        </w:rPr>
        <w:t>, o calor adicionado ao fluido através do arraste com a tubulação e do</w:t>
      </w:r>
      <w:r w:rsidR="007B7B53" w:rsidRPr="007B7B53">
        <w:rPr>
          <w:rFonts w:cs="Arial"/>
          <w:szCs w:val="24"/>
        </w:rPr>
        <w:t xml:space="preserve"> trabalho das bombas acarreta</w:t>
      </w:r>
      <w:r w:rsidRPr="007B7B53">
        <w:rPr>
          <w:rFonts w:cs="Arial"/>
          <w:szCs w:val="24"/>
        </w:rPr>
        <w:t xml:space="preserve"> no acréscimo da temperatura da solução</w:t>
      </w:r>
      <w:r w:rsidR="007B7B53" w:rsidRPr="007B7B53">
        <w:rPr>
          <w:rFonts w:cs="Arial"/>
          <w:szCs w:val="24"/>
        </w:rPr>
        <w:t xml:space="preserve">. Tendo isso em vista, </w:t>
      </w:r>
      <w:r w:rsidRPr="007B7B53">
        <w:rPr>
          <w:rFonts w:cs="Arial"/>
          <w:szCs w:val="24"/>
        </w:rPr>
        <w:t xml:space="preserve">um Chiller de circulação LAUDA </w:t>
      </w:r>
      <w:r w:rsidR="007B7B53" w:rsidRPr="007B7B53">
        <w:rPr>
          <w:rFonts w:cs="Arial"/>
          <w:szCs w:val="24"/>
        </w:rPr>
        <w:t xml:space="preserve">modelo </w:t>
      </w:r>
      <w:r w:rsidRPr="007B7B53">
        <w:rPr>
          <w:rFonts w:cs="Arial"/>
          <w:szCs w:val="24"/>
        </w:rPr>
        <w:t xml:space="preserve">Variocool VC 5000W </w:t>
      </w:r>
      <w:r w:rsidR="007B7B53" w:rsidRPr="007B7B53">
        <w:rPr>
          <w:rFonts w:cs="Arial"/>
          <w:szCs w:val="24"/>
        </w:rPr>
        <w:t xml:space="preserve">foi anexado a planta, visando </w:t>
      </w:r>
      <w:r w:rsidRPr="007B7B53">
        <w:rPr>
          <w:rFonts w:cs="Arial"/>
          <w:szCs w:val="24"/>
        </w:rPr>
        <w:t>realiza</w:t>
      </w:r>
      <w:r w:rsidR="007B7B53" w:rsidRPr="007B7B53">
        <w:rPr>
          <w:rFonts w:cs="Arial"/>
          <w:szCs w:val="24"/>
        </w:rPr>
        <w:t>r a troca de calor com o fluido e, consequentemente, estabilizar</w:t>
      </w:r>
      <w:r w:rsidRPr="007B7B53">
        <w:rPr>
          <w:rFonts w:cs="Arial"/>
          <w:szCs w:val="24"/>
        </w:rPr>
        <w:t xml:space="preserve"> a temperatura </w:t>
      </w:r>
      <w:r w:rsidR="007B7B53" w:rsidRPr="007B7B53">
        <w:rPr>
          <w:rFonts w:cs="Arial"/>
          <w:szCs w:val="24"/>
        </w:rPr>
        <w:t xml:space="preserve">de trabalho </w:t>
      </w:r>
      <w:r w:rsidRPr="007B7B53">
        <w:rPr>
          <w:rFonts w:cs="Arial"/>
          <w:szCs w:val="24"/>
        </w:rPr>
        <w:t xml:space="preserve">durante </w:t>
      </w:r>
      <w:r w:rsidR="007B7B53" w:rsidRPr="007B7B53">
        <w:rPr>
          <w:rFonts w:cs="Arial"/>
          <w:szCs w:val="24"/>
        </w:rPr>
        <w:t>a execução d</w:t>
      </w:r>
      <w:r w:rsidR="0022508E">
        <w:rPr>
          <w:rFonts w:cs="Arial"/>
          <w:szCs w:val="24"/>
        </w:rPr>
        <w:t>os experimentos.</w:t>
      </w:r>
    </w:p>
    <w:p w:rsidR="00D40ECB" w:rsidRDefault="00D40ECB" w:rsidP="008E2AA9">
      <w:pPr>
        <w:autoSpaceDE w:val="0"/>
        <w:autoSpaceDN w:val="0"/>
        <w:adjustRightInd w:val="0"/>
        <w:contextualSpacing w:val="0"/>
        <w:rPr>
          <w:rFonts w:cs="Arial"/>
          <w:color w:val="ED7D31" w:themeColor="accent2"/>
          <w:szCs w:val="24"/>
        </w:rPr>
      </w:pPr>
    </w:p>
    <w:p w:rsidR="00D40ECB" w:rsidRDefault="00D40ECB" w:rsidP="008E2AA9">
      <w:pPr>
        <w:autoSpaceDE w:val="0"/>
        <w:autoSpaceDN w:val="0"/>
        <w:adjustRightInd w:val="0"/>
        <w:contextualSpacing w:val="0"/>
        <w:rPr>
          <w:rFonts w:cs="Arial"/>
          <w:color w:val="ED7D31" w:themeColor="accent2"/>
          <w:szCs w:val="24"/>
        </w:rPr>
      </w:pPr>
    </w:p>
    <w:p w:rsidR="002B49E7" w:rsidRDefault="0095518B" w:rsidP="00CC52A2">
      <w:pPr>
        <w:pStyle w:val="Nvel2-PG"/>
      </w:pPr>
      <w:bookmarkStart w:id="69" w:name="_Toc488678344"/>
      <w:r>
        <w:lastRenderedPageBreak/>
        <w:t>2.9</w:t>
      </w:r>
      <w:r w:rsidR="002B49E7">
        <w:t xml:space="preserve"> </w:t>
      </w:r>
      <w:r w:rsidR="002B49E7" w:rsidRPr="00751BCF">
        <w:t>Tarifação de Energia Elétrica</w:t>
      </w:r>
      <w:bookmarkEnd w:id="69"/>
    </w:p>
    <w:p w:rsidR="002B49E7" w:rsidRDefault="002B49E7" w:rsidP="002B49E7">
      <w:pPr>
        <w:autoSpaceDE w:val="0"/>
        <w:autoSpaceDN w:val="0"/>
        <w:adjustRightInd w:val="0"/>
        <w:contextualSpacing w:val="0"/>
      </w:pPr>
      <w:r>
        <w:t>A compreensão da forma como é cobrada a energia elétrica e como são calculados os valores apresentados nas faturas emitidas mensalmente pelas concessionárias de energia elétrica, é fundamental para a tomada de decisão em relação a projetos de eficiência energética.</w:t>
      </w:r>
      <w:r w:rsidR="00AC3E79">
        <w:t xml:space="preserve"> </w:t>
      </w:r>
    </w:p>
    <w:p w:rsidR="002B49E7" w:rsidRDefault="002B49E7" w:rsidP="002B49E7">
      <w:pPr>
        <w:autoSpaceDE w:val="0"/>
        <w:autoSpaceDN w:val="0"/>
        <w:adjustRightInd w:val="0"/>
        <w:contextualSpacing w:val="0"/>
      </w:pPr>
      <w:r>
        <w:t>Através da análise, por um período de no mínimo vinte e quatro meses, das informações de consumo (kWh) e demanda (kW), contidas nas faturas de energia elétrica, é possível estudar a relação entre hábitos e consumo de uma dada instalação: comercial, residencial ou industrial.</w:t>
      </w:r>
      <w:r w:rsidR="00AC3E79">
        <w:t xml:space="preserve"> </w:t>
      </w:r>
      <w:r>
        <w:t>A tarifa de energia elétrica é o preço da unidade de energia elétrica (R$/kWh) e/ou da demanda de potência ativa (R$/kW).</w:t>
      </w:r>
      <w:r w:rsidR="00AC3E79">
        <w:t xml:space="preserve"> [44]</w:t>
      </w:r>
    </w:p>
    <w:p w:rsidR="002B49E7" w:rsidRDefault="002B49E7" w:rsidP="002B49E7">
      <w:pPr>
        <w:autoSpaceDE w:val="0"/>
        <w:autoSpaceDN w:val="0"/>
        <w:adjustRightInd w:val="0"/>
        <w:contextualSpacing w:val="0"/>
      </w:pPr>
    </w:p>
    <w:p w:rsidR="002B49E7" w:rsidRDefault="0095518B" w:rsidP="00CC52A2">
      <w:pPr>
        <w:pStyle w:val="Nvel3-PG"/>
      </w:pPr>
      <w:bookmarkStart w:id="70" w:name="_Toc488678345"/>
      <w:r>
        <w:t>2.9</w:t>
      </w:r>
      <w:r w:rsidR="002B49E7">
        <w:t>.1 Consumo de energia elétrica</w:t>
      </w:r>
      <w:bookmarkEnd w:id="70"/>
    </w:p>
    <w:p w:rsidR="002B49E7" w:rsidRDefault="002B49E7" w:rsidP="002B49E7">
      <w:pPr>
        <w:autoSpaceDE w:val="0"/>
        <w:autoSpaceDN w:val="0"/>
        <w:adjustRightInd w:val="0"/>
        <w:contextualSpacing w:val="0"/>
      </w:pPr>
      <w:r>
        <w:t xml:space="preserve">Quantidade de potência elétrica (kW) consumida em um intervalo de tempo, expresso em quilowatt-hora (kWh). No caso de um equipamento elétrico o valor é obtido através do produto da potência do equipamento pelo seu período de utilização e, em uma instalação residencial, comercial ou industrial, através da soma do produto da demanda medida pelo período de integração. </w:t>
      </w:r>
      <w:r w:rsidR="00AC3E79">
        <w:t>[44]</w:t>
      </w:r>
    </w:p>
    <w:p w:rsidR="002B49E7" w:rsidRDefault="002B49E7" w:rsidP="002B49E7">
      <w:pPr>
        <w:autoSpaceDE w:val="0"/>
        <w:autoSpaceDN w:val="0"/>
        <w:adjustRightInd w:val="0"/>
        <w:contextualSpacing w:val="0"/>
      </w:pPr>
    </w:p>
    <w:p w:rsidR="002B49E7" w:rsidRDefault="0095518B" w:rsidP="00CC52A2">
      <w:pPr>
        <w:pStyle w:val="Nvel3-PG"/>
      </w:pPr>
      <w:bookmarkStart w:id="71" w:name="_Toc488678346"/>
      <w:r>
        <w:t>2.9</w:t>
      </w:r>
      <w:r w:rsidR="002B49E7">
        <w:t>.2 Demanda de energia elétrica</w:t>
      </w:r>
      <w:bookmarkEnd w:id="71"/>
    </w:p>
    <w:p w:rsidR="002B49E7" w:rsidRDefault="002B49E7" w:rsidP="002B49E7">
      <w:pPr>
        <w:autoSpaceDE w:val="0"/>
        <w:autoSpaceDN w:val="0"/>
        <w:adjustRightInd w:val="0"/>
        <w:contextualSpacing w:val="0"/>
      </w:pPr>
      <w:r>
        <w:t>A demanda é média das potências elétricas ativas ou reativas, solicitadas ao sistema elétrico pela parcela da carga instalada em operação na unidade consumidora, durante um intervalo de tempo especificado.</w:t>
      </w:r>
      <w:r w:rsidR="00AC3E79" w:rsidRPr="00AC3E79">
        <w:t xml:space="preserve"> </w:t>
      </w:r>
      <w:r w:rsidR="00AC3E79">
        <w:t>[44]</w:t>
      </w:r>
    </w:p>
    <w:p w:rsidR="002B49E7" w:rsidRDefault="002B49E7" w:rsidP="002B49E7">
      <w:pPr>
        <w:autoSpaceDE w:val="0"/>
        <w:autoSpaceDN w:val="0"/>
        <w:adjustRightInd w:val="0"/>
        <w:contextualSpacing w:val="0"/>
      </w:pPr>
      <w:r>
        <w:t>A demanda faturável é o valor da maior demanda medida de potência ativa, identificada de acordo com os critérios estabelecidos e considerada para fins de faturamento, com aplicação da respectiva tarifa, expressa em quilowatts (kW). A concessionária deve obrigatoriamente e continuamente disponibilizar a demanda de potência ativa contratada no ponto de entrega, conforme valor e período de vigência no contrato de fornecimento e que deverá ser integralmente paga, seja ou não utilizada durante o período de faturamento. Se a demanda medida exceder o valor da demanda contratada, é cobrado o valor do excedente.</w:t>
      </w:r>
      <w:r w:rsidR="00AC3E79" w:rsidRPr="00AC3E79">
        <w:t xml:space="preserve"> </w:t>
      </w:r>
      <w:r w:rsidR="00AC3E79">
        <w:t>[44]</w:t>
      </w:r>
    </w:p>
    <w:p w:rsidR="00F822E4" w:rsidRDefault="00F822E4" w:rsidP="00CC52A2">
      <w:pPr>
        <w:pStyle w:val="Nvel3-PG"/>
      </w:pPr>
    </w:p>
    <w:p w:rsidR="002B49E7" w:rsidRDefault="0095518B" w:rsidP="00CC52A2">
      <w:pPr>
        <w:pStyle w:val="Nvel3-PG"/>
      </w:pPr>
      <w:bookmarkStart w:id="72" w:name="_Toc488678347"/>
      <w:r>
        <w:lastRenderedPageBreak/>
        <w:t>2.9</w:t>
      </w:r>
      <w:r w:rsidR="00654F02">
        <w:t>.3 Horário de ponta e horário f</w:t>
      </w:r>
      <w:r w:rsidR="002B49E7">
        <w:t>ora de ponta</w:t>
      </w:r>
      <w:bookmarkEnd w:id="72"/>
      <w:r w:rsidR="002B49E7">
        <w:t xml:space="preserve"> </w:t>
      </w:r>
    </w:p>
    <w:p w:rsidR="002B49E7" w:rsidRDefault="002B49E7" w:rsidP="002B49E7">
      <w:pPr>
        <w:autoSpaceDE w:val="0"/>
        <w:autoSpaceDN w:val="0"/>
        <w:adjustRightInd w:val="0"/>
        <w:contextualSpacing w:val="0"/>
      </w:pPr>
      <w:r>
        <w:t>É o período de 3 (três) horas consecutivas exceto sábados, domingos e feriados nacionais, definido pela concessionária, em função das características de seu sistema elétrico. Em algumas modalidades tarifárias, nesse horário a demanda e o consumo de energia elétrica têm preços mais elevados. O horário fora de ponta</w:t>
      </w:r>
      <w:r w:rsidRPr="007D448D">
        <w:t xml:space="preserve"> </w:t>
      </w:r>
      <w:r>
        <w:t>corresponde às demais 21 horas do dia, que não sejam às referentes ao horário de ponta.</w:t>
      </w:r>
      <w:r w:rsidR="00AC3E79" w:rsidRPr="00AC3E79">
        <w:t xml:space="preserve"> </w:t>
      </w:r>
      <w:r w:rsidR="00AC3E79">
        <w:t>[44]</w:t>
      </w:r>
    </w:p>
    <w:p w:rsidR="002B49E7" w:rsidRDefault="002B49E7" w:rsidP="002B49E7">
      <w:pPr>
        <w:autoSpaceDE w:val="0"/>
        <w:autoSpaceDN w:val="0"/>
        <w:adjustRightInd w:val="0"/>
        <w:contextualSpacing w:val="0"/>
      </w:pPr>
    </w:p>
    <w:p w:rsidR="002B49E7" w:rsidRDefault="0095518B" w:rsidP="00CC52A2">
      <w:pPr>
        <w:pStyle w:val="Nvel3-PG"/>
      </w:pPr>
      <w:bookmarkStart w:id="73" w:name="_Toc488678348"/>
      <w:r>
        <w:t>2.9</w:t>
      </w:r>
      <w:r w:rsidR="002B49E7">
        <w:t>.4 Classificação dos consumidores</w:t>
      </w:r>
      <w:bookmarkEnd w:id="73"/>
      <w:r w:rsidR="002B49E7">
        <w:t xml:space="preserve"> </w:t>
      </w:r>
    </w:p>
    <w:p w:rsidR="002B49E7" w:rsidRDefault="002B49E7" w:rsidP="002B49E7">
      <w:pPr>
        <w:autoSpaceDE w:val="0"/>
        <w:autoSpaceDN w:val="0"/>
        <w:adjustRightInd w:val="0"/>
        <w:contextualSpacing w:val="0"/>
      </w:pPr>
      <w:r>
        <w:t xml:space="preserve">No Brasil, as unidades consumidoras são classificadas em dois grupos tarifários: Grupo A, que tem tarifa binômia e Grupo B, que tem tarifa monômia. O agrupamento é definido, principalmente, em função do nível de tensão em que são atendidos e também, como consequência, em função da demanda (kW). </w:t>
      </w:r>
      <w:r w:rsidR="00AC3E79">
        <w:t>[44]</w:t>
      </w:r>
    </w:p>
    <w:p w:rsidR="002B49E7" w:rsidRDefault="002B49E7" w:rsidP="002B49E7">
      <w:pPr>
        <w:autoSpaceDE w:val="0"/>
        <w:autoSpaceDN w:val="0"/>
        <w:adjustRightInd w:val="0"/>
        <w:contextualSpacing w:val="0"/>
      </w:pPr>
      <w:r>
        <w:t>As unidades consumidoras atendidas em tensão abaixo de 2.300 volts são classificadas no Grupo B (baixa tensão). Em geral, estão nesta classe as residências, lojas, agências bancárias, pequenas oficinas, edifícios residenciais, grande parte dos edifícios comerciais e a maioria dos prédios públicos federais, uma vez que, na sua maioria são atendidos nas tensões de 127 ou 220 volts.</w:t>
      </w:r>
      <w:r w:rsidR="00AC3E79" w:rsidRPr="00AC3E79">
        <w:t xml:space="preserve"> </w:t>
      </w:r>
      <w:r w:rsidR="00AC3E79">
        <w:t>[44]</w:t>
      </w:r>
    </w:p>
    <w:p w:rsidR="002B49E7" w:rsidRDefault="002B49E7" w:rsidP="002B49E7">
      <w:pPr>
        <w:autoSpaceDE w:val="0"/>
        <w:autoSpaceDN w:val="0"/>
        <w:adjustRightInd w:val="0"/>
        <w:contextualSpacing w:val="0"/>
      </w:pPr>
      <w:r>
        <w:t xml:space="preserve">Os consumidores atendidos em alta tensão, acima de 2300 volts, como indústrias, shopping centers e alguns edifícios comerciais, são classificados no Grupo A. </w:t>
      </w:r>
    </w:p>
    <w:p w:rsidR="002B49E7" w:rsidRDefault="002B49E7" w:rsidP="002B49E7">
      <w:pPr>
        <w:autoSpaceDE w:val="0"/>
        <w:autoSpaceDN w:val="0"/>
        <w:adjustRightInd w:val="0"/>
        <w:contextualSpacing w:val="0"/>
      </w:pPr>
      <w:r>
        <w:t xml:space="preserve">Esse grupo é subdividido de acordo com a tensão de atendimento, como mostrado a seguir. </w:t>
      </w:r>
    </w:p>
    <w:p w:rsidR="002B49E7" w:rsidRDefault="002B49E7" w:rsidP="00810694">
      <w:pPr>
        <w:pStyle w:val="PargrafodaLista"/>
        <w:numPr>
          <w:ilvl w:val="0"/>
          <w:numId w:val="3"/>
        </w:numPr>
        <w:autoSpaceDE w:val="0"/>
        <w:autoSpaceDN w:val="0"/>
        <w:adjustRightInd w:val="0"/>
        <w:ind w:left="284" w:hanging="284"/>
        <w:contextualSpacing w:val="0"/>
      </w:pPr>
      <w:r>
        <w:t xml:space="preserve">Subgrupo A1 para o nível de tensão de 230 kV ou mais; </w:t>
      </w:r>
    </w:p>
    <w:p w:rsidR="002B49E7" w:rsidRDefault="002B49E7" w:rsidP="00810694">
      <w:pPr>
        <w:pStyle w:val="PargrafodaLista"/>
        <w:numPr>
          <w:ilvl w:val="0"/>
          <w:numId w:val="3"/>
        </w:numPr>
        <w:autoSpaceDE w:val="0"/>
        <w:autoSpaceDN w:val="0"/>
        <w:adjustRightInd w:val="0"/>
        <w:ind w:left="284" w:hanging="284"/>
        <w:contextualSpacing w:val="0"/>
      </w:pPr>
      <w:r>
        <w:t xml:space="preserve">Subgrupo A2 para o nível de tensão de 88 a 138 kV; </w:t>
      </w:r>
    </w:p>
    <w:p w:rsidR="002B49E7" w:rsidRDefault="002B49E7" w:rsidP="00810694">
      <w:pPr>
        <w:pStyle w:val="PargrafodaLista"/>
        <w:numPr>
          <w:ilvl w:val="0"/>
          <w:numId w:val="3"/>
        </w:numPr>
        <w:autoSpaceDE w:val="0"/>
        <w:autoSpaceDN w:val="0"/>
        <w:adjustRightInd w:val="0"/>
        <w:ind w:left="284" w:hanging="284"/>
        <w:contextualSpacing w:val="0"/>
      </w:pPr>
      <w:r>
        <w:t xml:space="preserve">Subgrupo A3 para o nível de tensão de 69 kV; </w:t>
      </w:r>
    </w:p>
    <w:p w:rsidR="002B49E7" w:rsidRDefault="002B49E7" w:rsidP="00810694">
      <w:pPr>
        <w:pStyle w:val="PargrafodaLista"/>
        <w:numPr>
          <w:ilvl w:val="0"/>
          <w:numId w:val="3"/>
        </w:numPr>
        <w:autoSpaceDE w:val="0"/>
        <w:autoSpaceDN w:val="0"/>
        <w:adjustRightInd w:val="0"/>
        <w:ind w:left="284" w:hanging="284"/>
        <w:contextualSpacing w:val="0"/>
      </w:pPr>
      <w:r>
        <w:t xml:space="preserve">Subgrupo A3a para o nível de tensão de 30 a 44 kV; </w:t>
      </w:r>
    </w:p>
    <w:p w:rsidR="002B49E7" w:rsidRDefault="002B49E7" w:rsidP="00810694">
      <w:pPr>
        <w:pStyle w:val="PargrafodaLista"/>
        <w:numPr>
          <w:ilvl w:val="0"/>
          <w:numId w:val="3"/>
        </w:numPr>
        <w:autoSpaceDE w:val="0"/>
        <w:autoSpaceDN w:val="0"/>
        <w:adjustRightInd w:val="0"/>
        <w:ind w:left="284" w:hanging="284"/>
        <w:contextualSpacing w:val="0"/>
      </w:pPr>
      <w:r>
        <w:t xml:space="preserve">Subgrupo A4 para o nível de tensão de 2,3 a 25 kV; </w:t>
      </w:r>
    </w:p>
    <w:p w:rsidR="002B49E7" w:rsidRDefault="002B49E7" w:rsidP="00810694">
      <w:pPr>
        <w:pStyle w:val="PargrafodaLista"/>
        <w:numPr>
          <w:ilvl w:val="0"/>
          <w:numId w:val="3"/>
        </w:numPr>
        <w:autoSpaceDE w:val="0"/>
        <w:autoSpaceDN w:val="0"/>
        <w:adjustRightInd w:val="0"/>
        <w:ind w:left="284" w:hanging="284"/>
        <w:contextualSpacing w:val="0"/>
      </w:pPr>
      <w:r>
        <w:t xml:space="preserve">Subgrupo AS para sistema subterrâneo. </w:t>
      </w:r>
    </w:p>
    <w:p w:rsidR="002B49E7" w:rsidRDefault="002B49E7" w:rsidP="002B49E7">
      <w:pPr>
        <w:autoSpaceDE w:val="0"/>
        <w:autoSpaceDN w:val="0"/>
        <w:adjustRightInd w:val="0"/>
        <w:contextualSpacing w:val="0"/>
      </w:pPr>
    </w:p>
    <w:p w:rsidR="00AC3E79" w:rsidRDefault="00AC3E79" w:rsidP="002B49E7">
      <w:pPr>
        <w:autoSpaceDE w:val="0"/>
        <w:autoSpaceDN w:val="0"/>
        <w:adjustRightInd w:val="0"/>
        <w:contextualSpacing w:val="0"/>
      </w:pPr>
    </w:p>
    <w:p w:rsidR="002B49E7" w:rsidRDefault="0095518B" w:rsidP="00CC52A2">
      <w:pPr>
        <w:pStyle w:val="Nvel3-PG"/>
      </w:pPr>
      <w:bookmarkStart w:id="74" w:name="_Toc488678349"/>
      <w:r>
        <w:lastRenderedPageBreak/>
        <w:t>2.9</w:t>
      </w:r>
      <w:r w:rsidR="002B49E7">
        <w:t>.5 Estrutura tarifária</w:t>
      </w:r>
      <w:bookmarkEnd w:id="74"/>
      <w:r w:rsidR="002B49E7">
        <w:t xml:space="preserve"> </w:t>
      </w:r>
    </w:p>
    <w:p w:rsidR="00AC3E79" w:rsidRDefault="002B49E7" w:rsidP="00AC3E79">
      <w:pPr>
        <w:autoSpaceDE w:val="0"/>
        <w:autoSpaceDN w:val="0"/>
        <w:adjustRightInd w:val="0"/>
        <w:contextualSpacing w:val="0"/>
      </w:pPr>
      <w:r>
        <w:t>Define-se estrutura tarifária como sendo o conjunto de tarifas aplicáveis aos componentes de consumo de energia elétrica e/ou demanda de potência ativa, de acordo com a modalidade de fornecimento. No Brasil, as tarifas de fornecimento do Grupo A são constituídas pelas e estruturas tarifárias Convencional, Verde ou Azul.</w:t>
      </w:r>
      <w:r w:rsidR="00AC3E79" w:rsidRPr="00AC3E79">
        <w:t xml:space="preserve"> </w:t>
      </w:r>
      <w:r w:rsidR="00AC3E79">
        <w:t>[44]</w:t>
      </w:r>
    </w:p>
    <w:p w:rsidR="002B49E7" w:rsidRDefault="002B49E7" w:rsidP="002B49E7">
      <w:pPr>
        <w:autoSpaceDE w:val="0"/>
        <w:autoSpaceDN w:val="0"/>
        <w:adjustRightInd w:val="0"/>
        <w:contextualSpacing w:val="0"/>
      </w:pPr>
    </w:p>
    <w:p w:rsidR="002B49E7" w:rsidRDefault="0095518B" w:rsidP="00CC52A2">
      <w:pPr>
        <w:pStyle w:val="Nvel4-PG"/>
      </w:pPr>
      <w:bookmarkStart w:id="75" w:name="_Toc488678350"/>
      <w:r>
        <w:t>2.9</w:t>
      </w:r>
      <w:r w:rsidR="002B49E7">
        <w:t>.5.1 Estrutura tarifária convencional</w:t>
      </w:r>
      <w:bookmarkEnd w:id="75"/>
      <w:r w:rsidR="002B49E7">
        <w:t xml:space="preserve"> </w:t>
      </w:r>
    </w:p>
    <w:p w:rsidR="002B49E7" w:rsidRDefault="002B49E7" w:rsidP="002B49E7">
      <w:pPr>
        <w:autoSpaceDE w:val="0"/>
        <w:autoSpaceDN w:val="0"/>
        <w:adjustRightInd w:val="0"/>
        <w:contextualSpacing w:val="0"/>
      </w:pPr>
      <w:r>
        <w:t>O enquadramento na estrutura tarifária Convencional exige um contrato específico com a concessionária, no qual se pactua um único valor da demanda pretendida pelo consumidor (‘Demanda Contratada’), independentemente da hora do dia (ponta ou fora de ponta).</w:t>
      </w:r>
      <w:r w:rsidR="00AC3E79" w:rsidRPr="00AC3E79">
        <w:t xml:space="preserve"> </w:t>
      </w:r>
      <w:r w:rsidR="00AC3E79">
        <w:t>[44]</w:t>
      </w:r>
    </w:p>
    <w:p w:rsidR="002B49E7" w:rsidRPr="00AC3E79" w:rsidRDefault="002B49E7" w:rsidP="002B49E7">
      <w:pPr>
        <w:autoSpaceDE w:val="0"/>
        <w:autoSpaceDN w:val="0"/>
        <w:adjustRightInd w:val="0"/>
        <w:contextualSpacing w:val="0"/>
      </w:pPr>
      <w:r w:rsidRPr="00AC3E79">
        <w:t xml:space="preserve">A parcela de consumo </w:t>
      </w:r>
      <m:oMath>
        <m:sSub>
          <m:sSubPr>
            <m:ctrlPr>
              <w:rPr>
                <w:rFonts w:ascii="Cambria Math" w:hAnsi="Cambria Math"/>
                <w:i/>
              </w:rPr>
            </m:ctrlPr>
          </m:sSubPr>
          <m:e>
            <m:r>
              <w:rPr>
                <w:rFonts w:ascii="Cambria Math" w:hAnsi="Cambria Math"/>
              </w:rPr>
              <m:t>P</m:t>
            </m:r>
          </m:e>
          <m:sub>
            <m:r>
              <w:rPr>
                <w:rFonts w:ascii="Cambria Math" w:hAnsi="Cambria Math"/>
              </w:rPr>
              <m:t>Consumo</m:t>
            </m:r>
          </m:sub>
        </m:sSub>
      </m:oMath>
      <w:r w:rsidR="00492647" w:rsidRPr="00AC3E79">
        <w:rPr>
          <w:rFonts w:eastAsiaTheme="minorEastAsia"/>
        </w:rPr>
        <w:t xml:space="preserve"> </w:t>
      </w:r>
      <w:r w:rsidR="00492647" w:rsidRPr="00AC3E79">
        <w:t>é calculada multiplicando-se o c</w:t>
      </w:r>
      <w:r w:rsidRPr="00AC3E79">
        <w:t xml:space="preserve">onsumo medido </w:t>
      </w:r>
      <m:oMath>
        <m:r>
          <w:rPr>
            <w:rFonts w:ascii="Cambria Math" w:hAnsi="Cambria Math"/>
          </w:rPr>
          <m:t xml:space="preserve">CM </m:t>
        </m:r>
      </m:oMath>
      <w:r w:rsidRPr="00AC3E79">
        <w:t>pela Tarifa de Consumo</w:t>
      </w:r>
      <w:r w:rsidR="00492647" w:rsidRPr="00AC3E79">
        <w:t xml:space="preserve"> </w:t>
      </w:r>
      <m:oMath>
        <m:r>
          <w:rPr>
            <w:rFonts w:ascii="Cambria Math" w:hAnsi="Cambria Math"/>
          </w:rPr>
          <m:t>TC</m:t>
        </m:r>
      </m:oMath>
      <w:r w:rsidR="00492647" w:rsidRPr="00AC3E79">
        <w:t xml:space="preserve">, como mostra a </w:t>
      </w:r>
      <w:r w:rsidR="00492647" w:rsidRPr="00AC3E79">
        <w:fldChar w:fldCharType="begin"/>
      </w:r>
      <w:r w:rsidR="00492647" w:rsidRPr="00AC3E79">
        <w:instrText xml:space="preserve"> REF _Ref488100593 \h </w:instrText>
      </w:r>
      <w:r w:rsidR="00492647" w:rsidRPr="00AC3E79">
        <w:fldChar w:fldCharType="separate"/>
      </w:r>
      <w:r w:rsidR="00380A8E" w:rsidRPr="00AC3E79">
        <w:t xml:space="preserve">Equação </w:t>
      </w:r>
      <w:r w:rsidR="00380A8E" w:rsidRPr="00AC3E79">
        <w:rPr>
          <w:noProof/>
        </w:rPr>
        <w:t>21</w:t>
      </w:r>
      <w:r w:rsidR="00492647" w:rsidRPr="00AC3E79">
        <w:fldChar w:fldCharType="end"/>
      </w:r>
      <w:r w:rsidR="00492647" w:rsidRPr="00AC3E79">
        <w:t>:</w:t>
      </w:r>
    </w:p>
    <w:tbl>
      <w:tblPr>
        <w:tblStyle w:val="Tabelacomgrade"/>
        <w:tblW w:w="0" w:type="auto"/>
        <w:tblCellMar>
          <w:left w:w="0" w:type="dxa"/>
          <w:right w:w="0" w:type="dxa"/>
        </w:tblCellMar>
        <w:tblLook w:val="04A0" w:firstRow="1" w:lastRow="0" w:firstColumn="1" w:lastColumn="0" w:noHBand="0" w:noVBand="1"/>
      </w:tblPr>
      <w:tblGrid>
        <w:gridCol w:w="8395"/>
        <w:gridCol w:w="676"/>
      </w:tblGrid>
      <w:tr w:rsidR="00492647" w:rsidTr="00DD091A">
        <w:tc>
          <w:tcPr>
            <w:tcW w:w="8395" w:type="dxa"/>
            <w:tcBorders>
              <w:top w:val="nil"/>
              <w:left w:val="nil"/>
              <w:bottom w:val="nil"/>
              <w:right w:val="nil"/>
            </w:tcBorders>
            <w:vAlign w:val="center"/>
          </w:tcPr>
          <w:p w:rsidR="00492647" w:rsidRPr="00492647" w:rsidRDefault="00D83C6E" w:rsidP="00492647">
            <w:pPr>
              <w:autoSpaceDE w:val="0"/>
              <w:autoSpaceDN w:val="0"/>
              <w:adjustRightInd w:val="0"/>
              <w:spacing w:after="0"/>
              <w:contextualSpacing w:val="0"/>
            </w:pPr>
            <m:oMathPara>
              <m:oMath>
                <m:sSub>
                  <m:sSubPr>
                    <m:ctrlPr>
                      <w:rPr>
                        <w:rFonts w:ascii="Cambria Math" w:hAnsi="Cambria Math"/>
                        <w:i/>
                      </w:rPr>
                    </m:ctrlPr>
                  </m:sSubPr>
                  <m:e>
                    <m:r>
                      <w:rPr>
                        <w:rFonts w:ascii="Cambria Math" w:hAnsi="Cambria Math"/>
                      </w:rPr>
                      <m:t>P</m:t>
                    </m:r>
                  </m:e>
                  <m:sub>
                    <m:r>
                      <w:rPr>
                        <w:rFonts w:ascii="Cambria Math" w:hAnsi="Cambria Math"/>
                      </w:rPr>
                      <m:t>Consumo</m:t>
                    </m:r>
                  </m:sub>
                </m:sSub>
                <m:r>
                  <w:rPr>
                    <w:rFonts w:ascii="Cambria Math" w:hAnsi="Cambria Math"/>
                  </w:rPr>
                  <m:t>=TC × CM</m:t>
                </m:r>
              </m:oMath>
            </m:oMathPara>
          </w:p>
        </w:tc>
        <w:tc>
          <w:tcPr>
            <w:tcW w:w="676" w:type="dxa"/>
            <w:tcBorders>
              <w:top w:val="nil"/>
              <w:left w:val="nil"/>
              <w:bottom w:val="nil"/>
              <w:right w:val="nil"/>
            </w:tcBorders>
            <w:vAlign w:val="center"/>
          </w:tcPr>
          <w:p w:rsidR="00492647" w:rsidRDefault="00492647" w:rsidP="00492647">
            <w:pPr>
              <w:keepNext/>
              <w:rPr>
                <w:rFonts w:cs="Arial"/>
                <w:szCs w:val="24"/>
              </w:rPr>
            </w:pPr>
            <w:r>
              <w:rPr>
                <w:rFonts w:cs="Arial"/>
                <w:szCs w:val="24"/>
              </w:rPr>
              <w:t>(21)</w:t>
            </w:r>
          </w:p>
        </w:tc>
      </w:tr>
    </w:tbl>
    <w:p w:rsidR="00492647" w:rsidRPr="00CD4FE8" w:rsidRDefault="00492647" w:rsidP="00492647">
      <w:pPr>
        <w:pStyle w:val="Legenda"/>
        <w:rPr>
          <w:color w:val="FFFFFF" w:themeColor="background1"/>
        </w:rPr>
      </w:pPr>
      <w:bookmarkStart w:id="76" w:name="_Ref488100593"/>
      <w:r w:rsidRPr="00CD4FE8">
        <w:rPr>
          <w:color w:val="FFFFFF" w:themeColor="background1"/>
        </w:rPr>
        <w:t xml:space="preserve">Equação </w:t>
      </w:r>
      <w:r w:rsidR="001144AF">
        <w:rPr>
          <w:color w:val="FFFFFF" w:themeColor="background1"/>
        </w:rPr>
        <w:fldChar w:fldCharType="begin"/>
      </w:r>
      <w:r w:rsidR="001144AF">
        <w:rPr>
          <w:color w:val="FFFFFF" w:themeColor="background1"/>
        </w:rPr>
        <w:instrText xml:space="preserve"> SEQ Equação \* ARABIC </w:instrText>
      </w:r>
      <w:r w:rsidR="001144AF">
        <w:rPr>
          <w:color w:val="FFFFFF" w:themeColor="background1"/>
        </w:rPr>
        <w:fldChar w:fldCharType="separate"/>
      </w:r>
      <w:r w:rsidR="001144AF">
        <w:rPr>
          <w:noProof/>
          <w:color w:val="FFFFFF" w:themeColor="background1"/>
        </w:rPr>
        <w:t>21</w:t>
      </w:r>
      <w:r w:rsidR="001144AF">
        <w:rPr>
          <w:color w:val="FFFFFF" w:themeColor="background1"/>
        </w:rPr>
        <w:fldChar w:fldCharType="end"/>
      </w:r>
      <w:bookmarkEnd w:id="76"/>
    </w:p>
    <w:p w:rsidR="002B49E7" w:rsidRDefault="00CD4FE8" w:rsidP="002B49E7">
      <w:pPr>
        <w:autoSpaceDE w:val="0"/>
        <w:autoSpaceDN w:val="0"/>
        <w:adjustRightInd w:val="0"/>
        <w:contextualSpacing w:val="0"/>
      </w:pPr>
      <w:r w:rsidRPr="00AC3E79">
        <w:t xml:space="preserve">A </w:t>
      </w:r>
      <w:r w:rsidRPr="00AC3E79">
        <w:fldChar w:fldCharType="begin"/>
      </w:r>
      <w:r w:rsidRPr="00AC3E79">
        <w:instrText xml:space="preserve"> REF _Ref488100693 \h </w:instrText>
      </w:r>
      <w:r w:rsidRPr="00AC3E79">
        <w:fldChar w:fldCharType="separate"/>
      </w:r>
      <w:r w:rsidR="00380A8E" w:rsidRPr="00AC3E79">
        <w:t xml:space="preserve">Equação </w:t>
      </w:r>
      <w:r w:rsidR="00380A8E" w:rsidRPr="00AC3E79">
        <w:rPr>
          <w:noProof/>
        </w:rPr>
        <w:t>22</w:t>
      </w:r>
      <w:r w:rsidRPr="00AC3E79">
        <w:fldChar w:fldCharType="end"/>
      </w:r>
      <w:r w:rsidRPr="00AC3E79">
        <w:t xml:space="preserve"> apresenta o cálculo da parcela de demanda </w:t>
      </w:r>
      <m:oMath>
        <m:sSub>
          <m:sSubPr>
            <m:ctrlPr>
              <w:rPr>
                <w:rFonts w:ascii="Cambria Math" w:hAnsi="Cambria Math"/>
                <w:i/>
              </w:rPr>
            </m:ctrlPr>
          </m:sSubPr>
          <m:e>
            <m:r>
              <w:rPr>
                <w:rFonts w:ascii="Cambria Math" w:hAnsi="Cambria Math"/>
              </w:rPr>
              <m:t>P</m:t>
            </m:r>
          </m:e>
          <m:sub>
            <m:r>
              <w:rPr>
                <w:rFonts w:ascii="Cambria Math" w:hAnsi="Cambria Math"/>
              </w:rPr>
              <m:t>Demanda</m:t>
            </m:r>
          </m:sub>
        </m:sSub>
      </m:oMath>
      <w:r w:rsidRPr="00AC3E79">
        <w:t xml:space="preserve">, que consiste em </w:t>
      </w:r>
      <w:r>
        <w:t xml:space="preserve">multiplicar </w:t>
      </w:r>
      <w:r w:rsidR="002B49E7">
        <w:t>a Tarifa de Demanda</w:t>
      </w:r>
      <w:r>
        <w:t xml:space="preserve"> </w:t>
      </w:r>
      <m:oMath>
        <m:r>
          <w:rPr>
            <w:rFonts w:ascii="Cambria Math" w:hAnsi="Cambria Math"/>
          </w:rPr>
          <m:t>TD</m:t>
        </m:r>
      </m:oMath>
      <w:r w:rsidR="002B49E7">
        <w:t xml:space="preserve"> pela Demanda Contratada </w:t>
      </w:r>
      <m:oMath>
        <m:r>
          <w:rPr>
            <w:rFonts w:ascii="Cambria Math" w:hAnsi="Cambria Math"/>
          </w:rPr>
          <m:t xml:space="preserve">DC </m:t>
        </m:r>
      </m:oMath>
      <w:r w:rsidR="002B49E7">
        <w:t xml:space="preserve">ou pela demanda medida (a maior delas), caso esta não ultrapasse em 10% a Demanda </w:t>
      </w:r>
      <w:r>
        <w:t>Contratada.</w:t>
      </w:r>
    </w:p>
    <w:tbl>
      <w:tblPr>
        <w:tblStyle w:val="Tabelacomgrade"/>
        <w:tblW w:w="0" w:type="auto"/>
        <w:jc w:val="center"/>
        <w:tblCellMar>
          <w:left w:w="0" w:type="dxa"/>
          <w:right w:w="0" w:type="dxa"/>
        </w:tblCellMar>
        <w:tblLook w:val="04A0" w:firstRow="1" w:lastRow="0" w:firstColumn="1" w:lastColumn="0" w:noHBand="0" w:noVBand="1"/>
      </w:tblPr>
      <w:tblGrid>
        <w:gridCol w:w="8395"/>
        <w:gridCol w:w="676"/>
      </w:tblGrid>
      <w:tr w:rsidR="00492647" w:rsidTr="00492647">
        <w:trPr>
          <w:jc w:val="center"/>
        </w:trPr>
        <w:tc>
          <w:tcPr>
            <w:tcW w:w="8395" w:type="dxa"/>
            <w:tcBorders>
              <w:top w:val="nil"/>
              <w:left w:val="nil"/>
              <w:bottom w:val="nil"/>
              <w:right w:val="nil"/>
            </w:tcBorders>
            <w:vAlign w:val="center"/>
          </w:tcPr>
          <w:p w:rsidR="00492647" w:rsidRPr="00492647" w:rsidRDefault="00D83C6E" w:rsidP="00CD4FE8">
            <w:pPr>
              <w:autoSpaceDE w:val="0"/>
              <w:autoSpaceDN w:val="0"/>
              <w:adjustRightInd w:val="0"/>
              <w:spacing w:after="0" w:line="240" w:lineRule="auto"/>
              <w:contextualSpacing w:val="0"/>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Demanda</m:t>
                    </m:r>
                  </m:sub>
                </m:sSub>
                <m:r>
                  <w:rPr>
                    <w:rFonts w:ascii="Cambria Math" w:hAnsi="Cambria Math"/>
                  </w:rPr>
                  <m:t>=TD×DC</m:t>
                </m:r>
              </m:oMath>
            </m:oMathPara>
          </w:p>
        </w:tc>
        <w:tc>
          <w:tcPr>
            <w:tcW w:w="676" w:type="dxa"/>
            <w:tcBorders>
              <w:top w:val="nil"/>
              <w:left w:val="nil"/>
              <w:bottom w:val="nil"/>
              <w:right w:val="nil"/>
            </w:tcBorders>
            <w:vAlign w:val="center"/>
          </w:tcPr>
          <w:p w:rsidR="00492647" w:rsidRDefault="00492647" w:rsidP="00492647">
            <w:pPr>
              <w:keepNext/>
              <w:spacing w:after="0" w:line="240" w:lineRule="auto"/>
              <w:rPr>
                <w:rFonts w:cs="Arial"/>
                <w:szCs w:val="24"/>
              </w:rPr>
            </w:pPr>
            <w:r>
              <w:rPr>
                <w:rFonts w:cs="Arial"/>
                <w:szCs w:val="24"/>
              </w:rPr>
              <w:t>(22)</w:t>
            </w:r>
          </w:p>
        </w:tc>
      </w:tr>
    </w:tbl>
    <w:p w:rsidR="00CD4FE8" w:rsidRPr="00CD4FE8" w:rsidRDefault="00492647" w:rsidP="00CD4FE8">
      <w:pPr>
        <w:pStyle w:val="Legenda"/>
        <w:rPr>
          <w:color w:val="FFFFFF" w:themeColor="background1"/>
        </w:rPr>
      </w:pPr>
      <w:bookmarkStart w:id="77" w:name="_Ref488100693"/>
      <w:r w:rsidRPr="00CD4FE8">
        <w:rPr>
          <w:color w:val="FFFFFF" w:themeColor="background1"/>
        </w:rPr>
        <w:t xml:space="preserve">Equação </w:t>
      </w:r>
      <w:r w:rsidR="001144AF">
        <w:rPr>
          <w:color w:val="FFFFFF" w:themeColor="background1"/>
        </w:rPr>
        <w:fldChar w:fldCharType="begin"/>
      </w:r>
      <w:r w:rsidR="001144AF">
        <w:rPr>
          <w:color w:val="FFFFFF" w:themeColor="background1"/>
        </w:rPr>
        <w:instrText xml:space="preserve"> SEQ Equação \* ARABIC </w:instrText>
      </w:r>
      <w:r w:rsidR="001144AF">
        <w:rPr>
          <w:color w:val="FFFFFF" w:themeColor="background1"/>
        </w:rPr>
        <w:fldChar w:fldCharType="separate"/>
      </w:r>
      <w:r w:rsidR="001144AF">
        <w:rPr>
          <w:noProof/>
          <w:color w:val="FFFFFF" w:themeColor="background1"/>
        </w:rPr>
        <w:t>22</w:t>
      </w:r>
      <w:r w:rsidR="001144AF">
        <w:rPr>
          <w:color w:val="FFFFFF" w:themeColor="background1"/>
        </w:rPr>
        <w:fldChar w:fldCharType="end"/>
      </w:r>
      <w:bookmarkEnd w:id="77"/>
    </w:p>
    <w:p w:rsidR="002B49E7" w:rsidRDefault="0095518B" w:rsidP="00CC52A2">
      <w:pPr>
        <w:pStyle w:val="Nvel4-PG"/>
      </w:pPr>
      <w:bookmarkStart w:id="78" w:name="_Toc488678351"/>
      <w:r>
        <w:t>2.9</w:t>
      </w:r>
      <w:r w:rsidR="002B49E7">
        <w:t>.5.2 Estrutura tarifária verde</w:t>
      </w:r>
      <w:bookmarkEnd w:id="78"/>
    </w:p>
    <w:p w:rsidR="002B49E7" w:rsidRDefault="002B49E7" w:rsidP="002B49E7">
      <w:pPr>
        <w:autoSpaceDE w:val="0"/>
        <w:autoSpaceDN w:val="0"/>
        <w:adjustRightInd w:val="0"/>
        <w:contextualSpacing w:val="0"/>
      </w:pPr>
      <w:r>
        <w:t>A opção de enquadramento na estrutura tarifária Verde somente é possível para as unidades consumidoras do Grupo A, s</w:t>
      </w:r>
      <w:r w:rsidR="00492647">
        <w:t xml:space="preserve">ubgrupos A3a, A4 e AS. </w:t>
      </w:r>
      <w:r>
        <w:t>Essa modalidade tarifária exige um contrato específico com a concessionária, no qual se pactua a demanda pretendida pelo consumidor (‘Demanda Contratada’), independentemente da hora do dia (ponta ou fora de ponta).</w:t>
      </w:r>
      <w:r w:rsidR="003F4B46" w:rsidRPr="003F4B46">
        <w:t xml:space="preserve"> </w:t>
      </w:r>
      <w:r w:rsidR="003F4B46">
        <w:t>[44]</w:t>
      </w:r>
      <w:r>
        <w:t xml:space="preserve"> </w:t>
      </w:r>
    </w:p>
    <w:p w:rsidR="002B49E7" w:rsidRDefault="002B49E7" w:rsidP="002B49E7">
      <w:pPr>
        <w:autoSpaceDE w:val="0"/>
        <w:autoSpaceDN w:val="0"/>
        <w:adjustRightInd w:val="0"/>
        <w:contextualSpacing w:val="0"/>
      </w:pPr>
      <w:r>
        <w:t>A fatura de energia elétrica desses consumidores é composta da soma de parcelas referentes ao consumo (na ponta e fora d</w:t>
      </w:r>
      <w:r w:rsidR="00CD4FE8">
        <w:t xml:space="preserve">ela), demanda e ultrapassagem. </w:t>
      </w:r>
      <w:r>
        <w:t>A parcela de consumo é calcul</w:t>
      </w:r>
      <w:r w:rsidR="00492647">
        <w:t xml:space="preserve">ada </w:t>
      </w:r>
      <w:r w:rsidR="00492647" w:rsidRPr="00567F01">
        <w:t xml:space="preserve">através da </w:t>
      </w:r>
      <w:r w:rsidR="00CD4FE8" w:rsidRPr="00567F01">
        <w:fldChar w:fldCharType="begin"/>
      </w:r>
      <w:r w:rsidR="00CD4FE8" w:rsidRPr="00567F01">
        <w:instrText xml:space="preserve"> REF _Ref488100831 \h </w:instrText>
      </w:r>
      <w:r w:rsidR="00CD4FE8" w:rsidRPr="00567F01">
        <w:fldChar w:fldCharType="separate"/>
      </w:r>
      <w:r w:rsidR="00380A8E" w:rsidRPr="00567F01">
        <w:t xml:space="preserve">Equação </w:t>
      </w:r>
      <w:r w:rsidR="00380A8E" w:rsidRPr="00567F01">
        <w:rPr>
          <w:noProof/>
        </w:rPr>
        <w:t>23</w:t>
      </w:r>
      <w:r w:rsidR="00CD4FE8" w:rsidRPr="00567F01">
        <w:fldChar w:fldCharType="end"/>
      </w:r>
      <w:r w:rsidR="00CD4FE8" w:rsidRPr="00567F01">
        <w:t xml:space="preserve">, onde </w:t>
      </w:r>
      <m:oMath>
        <m:r>
          <w:rPr>
            <w:rFonts w:ascii="Cambria Math" w:hAnsi="Cambria Math"/>
          </w:rPr>
          <m:t>T</m:t>
        </m:r>
        <m:sSub>
          <m:sSubPr>
            <m:ctrlPr>
              <w:rPr>
                <w:rFonts w:ascii="Cambria Math" w:hAnsi="Cambria Math"/>
                <w:i/>
              </w:rPr>
            </m:ctrlPr>
          </m:sSubPr>
          <m:e>
            <m:r>
              <w:rPr>
                <w:rFonts w:ascii="Cambria Math" w:hAnsi="Cambria Math"/>
              </w:rPr>
              <m:t>C</m:t>
            </m:r>
          </m:e>
          <m:sub>
            <m:r>
              <w:rPr>
                <w:rFonts w:ascii="Cambria Math" w:hAnsi="Cambria Math"/>
              </w:rPr>
              <m:t>P</m:t>
            </m:r>
          </m:sub>
        </m:sSub>
      </m:oMath>
      <w:r w:rsidR="00CD4FE8" w:rsidRPr="00567F01">
        <w:rPr>
          <w:rFonts w:eastAsiaTheme="minorEastAsia"/>
        </w:rPr>
        <w:t xml:space="preserve"> representa a tarifa de </w:t>
      </w:r>
      <w:r w:rsidR="00CD4FE8" w:rsidRPr="00567F01">
        <w:rPr>
          <w:rFonts w:eastAsiaTheme="minorEastAsia"/>
        </w:rPr>
        <w:lastRenderedPageBreak/>
        <w:t xml:space="preserve">consumo na ponta, </w:t>
      </w:r>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FP</m:t>
            </m:r>
          </m:sub>
        </m:sSub>
      </m:oMath>
      <w:r w:rsidR="00CD4FE8" w:rsidRPr="00567F01">
        <w:rPr>
          <w:rFonts w:eastAsiaTheme="minorEastAsia"/>
        </w:rPr>
        <w:t xml:space="preserve"> a tarifa de consumo fora da ponta, </w:t>
      </w:r>
      <m:oMath>
        <m:r>
          <w:rPr>
            <w:rFonts w:ascii="Cambria Math" w:eastAsiaTheme="minorEastAsia" w:hAnsi="Cambria Math"/>
          </w:rPr>
          <m:t>C</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m:t>
            </m:r>
          </m:sub>
        </m:sSub>
      </m:oMath>
      <w:r w:rsidR="00CD4FE8">
        <w:rPr>
          <w:rFonts w:eastAsiaTheme="minorEastAsia"/>
        </w:rPr>
        <w:t xml:space="preserve"> o consumo medido na ponta e </w:t>
      </w:r>
      <m:oMath>
        <m:r>
          <w:rPr>
            <w:rFonts w:ascii="Cambria Math" w:eastAsiaTheme="minorEastAsia" w:hAnsi="Cambria Math"/>
          </w:rPr>
          <m:t>C</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FP</m:t>
            </m:r>
          </m:sub>
        </m:sSub>
      </m:oMath>
      <w:r w:rsidR="00CD4FE8">
        <w:rPr>
          <w:rFonts w:eastAsiaTheme="minorEastAsia"/>
        </w:rPr>
        <w:t xml:space="preserve"> o consumo medido fora da ponta.</w:t>
      </w:r>
    </w:p>
    <w:tbl>
      <w:tblPr>
        <w:tblStyle w:val="Tabelacomgrade"/>
        <w:tblW w:w="0" w:type="auto"/>
        <w:tblCellMar>
          <w:left w:w="0" w:type="dxa"/>
          <w:right w:w="0" w:type="dxa"/>
        </w:tblCellMar>
        <w:tblLook w:val="04A0" w:firstRow="1" w:lastRow="0" w:firstColumn="1" w:lastColumn="0" w:noHBand="0" w:noVBand="1"/>
      </w:tblPr>
      <w:tblGrid>
        <w:gridCol w:w="8395"/>
        <w:gridCol w:w="676"/>
      </w:tblGrid>
      <w:tr w:rsidR="00492647" w:rsidTr="00DD091A">
        <w:tc>
          <w:tcPr>
            <w:tcW w:w="8395" w:type="dxa"/>
            <w:tcBorders>
              <w:top w:val="nil"/>
              <w:left w:val="nil"/>
              <w:bottom w:val="nil"/>
              <w:right w:val="nil"/>
            </w:tcBorders>
            <w:vAlign w:val="center"/>
          </w:tcPr>
          <w:p w:rsidR="00492647" w:rsidRPr="00CD4FE8" w:rsidRDefault="00D83C6E" w:rsidP="00CD4FE8">
            <w:pPr>
              <w:autoSpaceDE w:val="0"/>
              <w:autoSpaceDN w:val="0"/>
              <w:adjustRightInd w:val="0"/>
              <w:spacing w:after="0" w:line="240" w:lineRule="auto"/>
              <w:contextualSpacing w:val="0"/>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Consumo</m:t>
                    </m:r>
                  </m:sub>
                </m:sSub>
                <m:r>
                  <w:rPr>
                    <w:rFonts w:ascii="Cambria Math" w:hAnsi="Cambria Math"/>
                  </w:rPr>
                  <m:t>=T</m:t>
                </m:r>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×C</m:t>
                </m:r>
                <m:sSub>
                  <m:sSubPr>
                    <m:ctrlPr>
                      <w:rPr>
                        <w:rFonts w:ascii="Cambria Math" w:hAnsi="Cambria Math"/>
                        <w:i/>
                      </w:rPr>
                    </m:ctrlPr>
                  </m:sSubPr>
                  <m:e>
                    <m:r>
                      <w:rPr>
                        <w:rFonts w:ascii="Cambria Math" w:hAnsi="Cambria Math"/>
                      </w:rPr>
                      <m:t>M</m:t>
                    </m:r>
                  </m:e>
                  <m:sub>
                    <m:r>
                      <w:rPr>
                        <w:rFonts w:ascii="Cambria Math" w:hAnsi="Cambria Math"/>
                      </w:rPr>
                      <m:t>P</m:t>
                    </m:r>
                  </m:sub>
                </m:sSub>
                <m:r>
                  <w:rPr>
                    <w:rFonts w:ascii="Cambria Math" w:hAnsi="Cambria Math"/>
                  </w:rPr>
                  <m:t>+T</m:t>
                </m:r>
                <m:sSub>
                  <m:sSubPr>
                    <m:ctrlPr>
                      <w:rPr>
                        <w:rFonts w:ascii="Cambria Math" w:hAnsi="Cambria Math"/>
                        <w:i/>
                      </w:rPr>
                    </m:ctrlPr>
                  </m:sSubPr>
                  <m:e>
                    <m:r>
                      <w:rPr>
                        <w:rFonts w:ascii="Cambria Math" w:hAnsi="Cambria Math"/>
                      </w:rPr>
                      <m:t>C</m:t>
                    </m:r>
                  </m:e>
                  <m:sub>
                    <m:r>
                      <w:rPr>
                        <w:rFonts w:ascii="Cambria Math" w:hAnsi="Cambria Math"/>
                      </w:rPr>
                      <m:t>FP</m:t>
                    </m:r>
                  </m:sub>
                </m:sSub>
                <m:r>
                  <w:rPr>
                    <w:rFonts w:ascii="Cambria Math" w:hAnsi="Cambria Math"/>
                  </w:rPr>
                  <m:t>×C</m:t>
                </m:r>
                <m:sSub>
                  <m:sSubPr>
                    <m:ctrlPr>
                      <w:rPr>
                        <w:rFonts w:ascii="Cambria Math" w:hAnsi="Cambria Math"/>
                        <w:i/>
                      </w:rPr>
                    </m:ctrlPr>
                  </m:sSubPr>
                  <m:e>
                    <m:r>
                      <w:rPr>
                        <w:rFonts w:ascii="Cambria Math" w:hAnsi="Cambria Math"/>
                      </w:rPr>
                      <m:t>M</m:t>
                    </m:r>
                  </m:e>
                  <m:sub>
                    <m:r>
                      <w:rPr>
                        <w:rFonts w:ascii="Cambria Math" w:hAnsi="Cambria Math"/>
                      </w:rPr>
                      <m:t>FP</m:t>
                    </m:r>
                  </m:sub>
                </m:sSub>
              </m:oMath>
            </m:oMathPara>
          </w:p>
        </w:tc>
        <w:tc>
          <w:tcPr>
            <w:tcW w:w="676" w:type="dxa"/>
            <w:tcBorders>
              <w:top w:val="nil"/>
              <w:left w:val="nil"/>
              <w:bottom w:val="nil"/>
              <w:right w:val="nil"/>
            </w:tcBorders>
            <w:vAlign w:val="center"/>
          </w:tcPr>
          <w:p w:rsidR="00492647" w:rsidRDefault="00492647" w:rsidP="00CD4FE8">
            <w:pPr>
              <w:keepNext/>
              <w:rPr>
                <w:rFonts w:cs="Arial"/>
                <w:szCs w:val="24"/>
              </w:rPr>
            </w:pPr>
            <w:r>
              <w:rPr>
                <w:rFonts w:cs="Arial"/>
                <w:szCs w:val="24"/>
              </w:rPr>
              <w:t>(2</w:t>
            </w:r>
            <w:r w:rsidR="00CD4FE8">
              <w:rPr>
                <w:rFonts w:cs="Arial"/>
                <w:szCs w:val="24"/>
              </w:rPr>
              <w:t>3</w:t>
            </w:r>
            <w:r>
              <w:rPr>
                <w:rFonts w:cs="Arial"/>
                <w:szCs w:val="24"/>
              </w:rPr>
              <w:t>)</w:t>
            </w:r>
          </w:p>
        </w:tc>
      </w:tr>
    </w:tbl>
    <w:p w:rsidR="00492647" w:rsidRPr="00CD4FE8" w:rsidRDefault="00CD4FE8" w:rsidP="00CD4FE8">
      <w:pPr>
        <w:pStyle w:val="Legenda"/>
        <w:rPr>
          <w:color w:val="FFFFFF" w:themeColor="background1"/>
        </w:rPr>
      </w:pPr>
      <w:bookmarkStart w:id="79" w:name="_Ref488100831"/>
      <w:r w:rsidRPr="00CD4FE8">
        <w:rPr>
          <w:color w:val="FFFFFF" w:themeColor="background1"/>
        </w:rPr>
        <w:t xml:space="preserve">Equação </w:t>
      </w:r>
      <w:r w:rsidR="001144AF">
        <w:rPr>
          <w:color w:val="FFFFFF" w:themeColor="background1"/>
        </w:rPr>
        <w:fldChar w:fldCharType="begin"/>
      </w:r>
      <w:r w:rsidR="001144AF">
        <w:rPr>
          <w:color w:val="FFFFFF" w:themeColor="background1"/>
        </w:rPr>
        <w:instrText xml:space="preserve"> SEQ Equação \* ARABIC </w:instrText>
      </w:r>
      <w:r w:rsidR="001144AF">
        <w:rPr>
          <w:color w:val="FFFFFF" w:themeColor="background1"/>
        </w:rPr>
        <w:fldChar w:fldCharType="separate"/>
      </w:r>
      <w:r w:rsidR="001144AF">
        <w:rPr>
          <w:noProof/>
          <w:color w:val="FFFFFF" w:themeColor="background1"/>
        </w:rPr>
        <w:t>23</w:t>
      </w:r>
      <w:r w:rsidR="001144AF">
        <w:rPr>
          <w:color w:val="FFFFFF" w:themeColor="background1"/>
        </w:rPr>
        <w:fldChar w:fldCharType="end"/>
      </w:r>
      <w:bookmarkEnd w:id="79"/>
    </w:p>
    <w:p w:rsidR="002B49E7" w:rsidRDefault="002B49E7" w:rsidP="002B49E7">
      <w:pPr>
        <w:autoSpaceDE w:val="0"/>
        <w:autoSpaceDN w:val="0"/>
        <w:adjustRightInd w:val="0"/>
        <w:contextualSpacing w:val="0"/>
      </w:pPr>
      <w:r>
        <w:t xml:space="preserve">A parcela de demanda é calculada </w:t>
      </w:r>
      <w:r w:rsidR="00CD4FE8">
        <w:t>pelo mesmo método utilizado na estrutura convencional, sendo que a</w:t>
      </w:r>
      <w:r>
        <w:t xml:space="preserve"> tarifa de demanda é única, independente da hora do dia. </w:t>
      </w:r>
    </w:p>
    <w:p w:rsidR="002B49E7" w:rsidRDefault="002B49E7" w:rsidP="002B49E7">
      <w:pPr>
        <w:autoSpaceDE w:val="0"/>
        <w:autoSpaceDN w:val="0"/>
        <w:adjustRightInd w:val="0"/>
        <w:contextualSpacing w:val="0"/>
        <w:jc w:val="left"/>
        <w:rPr>
          <w:rFonts w:cs="Arial"/>
          <w:b/>
          <w:szCs w:val="24"/>
        </w:rPr>
      </w:pPr>
    </w:p>
    <w:p w:rsidR="002B49E7" w:rsidRDefault="0095518B" w:rsidP="00810694">
      <w:pPr>
        <w:pStyle w:val="Nvel4-PG"/>
      </w:pPr>
      <w:bookmarkStart w:id="80" w:name="_Toc488678352"/>
      <w:r>
        <w:t>2.9</w:t>
      </w:r>
      <w:r w:rsidR="002B49E7">
        <w:t>.5.3 Estrutura tarifária azul</w:t>
      </w:r>
      <w:bookmarkEnd w:id="80"/>
    </w:p>
    <w:p w:rsidR="002B49E7" w:rsidRDefault="002B49E7" w:rsidP="00810694">
      <w:pPr>
        <w:autoSpaceDE w:val="0"/>
        <w:autoSpaceDN w:val="0"/>
        <w:adjustRightInd w:val="0"/>
        <w:contextualSpacing w:val="0"/>
      </w:pPr>
      <w:r>
        <w:t>Aos consumidores dos subgrupos A1, A2 ou A3, é</w:t>
      </w:r>
      <w:r w:rsidR="00810694">
        <w:t xml:space="preserve"> obrigatório o enquadramento na </w:t>
      </w:r>
      <w:r>
        <w:t>estrutura tarifária horo-sazonal azul e opcional para os consumidores dos subgrupos A3a, A4 e AS.</w:t>
      </w:r>
      <w:r w:rsidR="003F4B46" w:rsidRPr="003F4B46">
        <w:t xml:space="preserve"> </w:t>
      </w:r>
      <w:r w:rsidR="003F4B46">
        <w:t>[44]</w:t>
      </w:r>
    </w:p>
    <w:p w:rsidR="002B49E7" w:rsidRDefault="002B49E7" w:rsidP="00810694">
      <w:pPr>
        <w:autoSpaceDE w:val="0"/>
        <w:autoSpaceDN w:val="0"/>
        <w:adjustRightInd w:val="0"/>
        <w:contextualSpacing w:val="0"/>
      </w:pPr>
      <w:r>
        <w:t>Essa modalidade tarifária exige um contrato específico com a concessionária, no qual se pactua tanto o valor da demanda pretendida pelo consumidor no horário de ponta (Demanda Contratada na Ponta) quanto o valor pretendido nas horas fora de ponta (Demanda Contratada fora de Ponta).</w:t>
      </w:r>
      <w:r w:rsidR="003F4B46" w:rsidRPr="003F4B46">
        <w:t xml:space="preserve"> </w:t>
      </w:r>
      <w:r w:rsidR="003F4B46">
        <w:t>[44]</w:t>
      </w:r>
    </w:p>
    <w:p w:rsidR="002B49E7" w:rsidRPr="003F4B46" w:rsidRDefault="002B49E7" w:rsidP="00810694">
      <w:pPr>
        <w:autoSpaceDE w:val="0"/>
        <w:autoSpaceDN w:val="0"/>
        <w:adjustRightInd w:val="0"/>
        <w:contextualSpacing w:val="0"/>
      </w:pPr>
      <w:r>
        <w:t>A fatura de energia elétrica desses consumidores é composta pela soma de parcelas referentes ao consumo e demanda e, caso exista, ultrapassagem. Em todas as parcelas observa-se a diferenciação entre horas d</w:t>
      </w:r>
      <w:r w:rsidR="00810694">
        <w:t xml:space="preserve">e ponta e horas fora de ponta. </w:t>
      </w:r>
      <w:r w:rsidRPr="00810694">
        <w:t xml:space="preserve">A parcela de consumo é calculada </w:t>
      </w:r>
      <w:r w:rsidR="00810694" w:rsidRPr="00810694">
        <w:t>por meio da</w:t>
      </w:r>
      <w:r w:rsidR="00810694" w:rsidRPr="003F4B46">
        <w:t xml:space="preserve"> </w:t>
      </w:r>
      <w:r w:rsidR="00810694" w:rsidRPr="003F4B46">
        <w:fldChar w:fldCharType="begin"/>
      </w:r>
      <w:r w:rsidR="00810694" w:rsidRPr="003F4B46">
        <w:instrText xml:space="preserve"> REF _Ref488100831 \h </w:instrText>
      </w:r>
      <w:r w:rsidR="00810694" w:rsidRPr="003F4B46">
        <w:fldChar w:fldCharType="separate"/>
      </w:r>
      <w:r w:rsidR="00380A8E" w:rsidRPr="003F4B46">
        <w:t xml:space="preserve">Equação </w:t>
      </w:r>
      <w:r w:rsidR="00380A8E" w:rsidRPr="003F4B46">
        <w:rPr>
          <w:noProof/>
        </w:rPr>
        <w:t>23</w:t>
      </w:r>
      <w:r w:rsidR="00810694" w:rsidRPr="003F4B46">
        <w:fldChar w:fldCharType="end"/>
      </w:r>
      <w:r w:rsidR="00810694" w:rsidRPr="003F4B46">
        <w:t>.</w:t>
      </w:r>
    </w:p>
    <w:p w:rsidR="002B49E7" w:rsidRDefault="00810694" w:rsidP="00810694">
      <w:pPr>
        <w:autoSpaceDE w:val="0"/>
        <w:autoSpaceDN w:val="0"/>
        <w:adjustRightInd w:val="0"/>
        <w:contextualSpacing w:val="0"/>
      </w:pPr>
      <w:r w:rsidRPr="003F4B46">
        <w:t xml:space="preserve">Já a </w:t>
      </w:r>
      <w:r w:rsidR="002B49E7" w:rsidRPr="003F4B46">
        <w:t>parcela de demanda é calculada soma</w:t>
      </w:r>
      <w:r w:rsidR="002B49E7">
        <w:t xml:space="preserve">ndo-se o produto da Tarifa de Demanda na ponta </w:t>
      </w:r>
      <m:oMath>
        <m:r>
          <w:rPr>
            <w:rFonts w:ascii="Cambria Math" w:hAnsi="Cambria Math"/>
          </w:rPr>
          <m:t>T</m:t>
        </m:r>
        <m:sSub>
          <m:sSubPr>
            <m:ctrlPr>
              <w:rPr>
                <w:rFonts w:ascii="Cambria Math" w:hAnsi="Cambria Math"/>
                <w:i/>
              </w:rPr>
            </m:ctrlPr>
          </m:sSubPr>
          <m:e>
            <m:r>
              <w:rPr>
                <w:rFonts w:ascii="Cambria Math" w:hAnsi="Cambria Math"/>
              </w:rPr>
              <m:t>D</m:t>
            </m:r>
          </m:e>
          <m:sub>
            <m:r>
              <w:rPr>
                <w:rFonts w:ascii="Cambria Math" w:hAnsi="Cambria Math"/>
              </w:rPr>
              <m:t>P</m:t>
            </m:r>
          </m:sub>
        </m:sSub>
      </m:oMath>
      <w:r>
        <w:rPr>
          <w:rFonts w:eastAsiaTheme="minorEastAsia"/>
        </w:rPr>
        <w:t xml:space="preserve"> </w:t>
      </w:r>
      <w:r w:rsidR="002B49E7">
        <w:t xml:space="preserve">pela Demanda Contratada na ponta </w:t>
      </w:r>
      <m:oMath>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P</m:t>
            </m:r>
          </m:sub>
        </m:sSub>
      </m:oMath>
      <w:r>
        <w:rPr>
          <w:rFonts w:eastAsiaTheme="minorEastAsia"/>
        </w:rPr>
        <w:t xml:space="preserve"> </w:t>
      </w:r>
      <w:r w:rsidR="002B49E7">
        <w:t xml:space="preserve">(ou pela demanda medida na ponta, de acordo com as tolerâncias de ultrapassagem) ao produto da Tarifa de Demanda fora da ponta </w:t>
      </w:r>
      <m:oMath>
        <m:r>
          <w:rPr>
            <w:rFonts w:ascii="Cambria Math" w:hAnsi="Cambria Math"/>
          </w:rPr>
          <m:t>T</m:t>
        </m:r>
        <m:sSub>
          <m:sSubPr>
            <m:ctrlPr>
              <w:rPr>
                <w:rFonts w:ascii="Cambria Math" w:hAnsi="Cambria Math"/>
                <w:i/>
              </w:rPr>
            </m:ctrlPr>
          </m:sSubPr>
          <m:e>
            <m:r>
              <w:rPr>
                <w:rFonts w:ascii="Cambria Math" w:hAnsi="Cambria Math"/>
              </w:rPr>
              <m:t>D</m:t>
            </m:r>
          </m:e>
          <m:sub>
            <m:r>
              <w:rPr>
                <w:rFonts w:ascii="Cambria Math" w:hAnsi="Cambria Math"/>
              </w:rPr>
              <m:t>FP</m:t>
            </m:r>
          </m:sub>
        </m:sSub>
      </m:oMath>
      <w:r w:rsidRPr="003F4B46">
        <w:rPr>
          <w:rFonts w:eastAsiaTheme="minorEastAsia"/>
        </w:rPr>
        <w:t xml:space="preserve"> </w:t>
      </w:r>
      <w:r w:rsidR="002B49E7" w:rsidRPr="003F4B46">
        <w:t xml:space="preserve">pela Demanda Contratada fora de ponta </w:t>
      </w:r>
      <m:oMath>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FP</m:t>
            </m:r>
          </m:sub>
        </m:sSub>
      </m:oMath>
      <w:r w:rsidRPr="003F4B46">
        <w:rPr>
          <w:rFonts w:eastAsiaTheme="minorEastAsia"/>
        </w:rPr>
        <w:t xml:space="preserve"> </w:t>
      </w:r>
      <w:r w:rsidR="002B49E7" w:rsidRPr="003F4B46">
        <w:t>(ou pela demanda medida fora de ponta, de acordo com as tolerâncias de ultrapassagem)</w:t>
      </w:r>
      <w:r w:rsidRPr="003F4B46">
        <w:t xml:space="preserve">. A </w:t>
      </w:r>
      <w:r w:rsidRPr="003F4B46">
        <w:fldChar w:fldCharType="begin"/>
      </w:r>
      <w:r w:rsidRPr="003F4B46">
        <w:instrText xml:space="preserve"> REF _Ref488101483 \h </w:instrText>
      </w:r>
      <w:r w:rsidRPr="003F4B46">
        <w:fldChar w:fldCharType="separate"/>
      </w:r>
      <w:r w:rsidR="00380A8E" w:rsidRPr="003F4B46">
        <w:t xml:space="preserve">Equação </w:t>
      </w:r>
      <w:r w:rsidR="00380A8E" w:rsidRPr="003F4B46">
        <w:rPr>
          <w:noProof/>
        </w:rPr>
        <w:t>24</w:t>
      </w:r>
      <w:r w:rsidRPr="003F4B46">
        <w:fldChar w:fldCharType="end"/>
      </w:r>
      <w:r w:rsidRPr="003F4B46">
        <w:t xml:space="preserve"> indica esta relaç</w:t>
      </w:r>
      <w:r>
        <w:t>ão.</w:t>
      </w:r>
    </w:p>
    <w:tbl>
      <w:tblPr>
        <w:tblStyle w:val="Tabelacomgrade"/>
        <w:tblW w:w="0" w:type="auto"/>
        <w:tblCellMar>
          <w:left w:w="0" w:type="dxa"/>
          <w:right w:w="0" w:type="dxa"/>
        </w:tblCellMar>
        <w:tblLook w:val="04A0" w:firstRow="1" w:lastRow="0" w:firstColumn="1" w:lastColumn="0" w:noHBand="0" w:noVBand="1"/>
      </w:tblPr>
      <w:tblGrid>
        <w:gridCol w:w="8395"/>
        <w:gridCol w:w="676"/>
      </w:tblGrid>
      <w:tr w:rsidR="00810694" w:rsidTr="00DD091A">
        <w:tc>
          <w:tcPr>
            <w:tcW w:w="8395" w:type="dxa"/>
            <w:tcBorders>
              <w:top w:val="nil"/>
              <w:left w:val="nil"/>
              <w:bottom w:val="nil"/>
              <w:right w:val="nil"/>
            </w:tcBorders>
            <w:vAlign w:val="center"/>
          </w:tcPr>
          <w:p w:rsidR="00810694" w:rsidRPr="00CD4FE8" w:rsidRDefault="00D83C6E" w:rsidP="00810694">
            <w:pPr>
              <w:autoSpaceDE w:val="0"/>
              <w:autoSpaceDN w:val="0"/>
              <w:adjustRightInd w:val="0"/>
              <w:spacing w:after="0" w:line="240" w:lineRule="auto"/>
              <w:contextualSpacing w:val="0"/>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Consumo</m:t>
                    </m:r>
                  </m:sub>
                </m:sSub>
                <m:r>
                  <w:rPr>
                    <w:rFonts w:ascii="Cambria Math" w:hAnsi="Cambria Math"/>
                  </w:rPr>
                  <m:t>=T</m:t>
                </m:r>
                <m:sSub>
                  <m:sSubPr>
                    <m:ctrlPr>
                      <w:rPr>
                        <w:rFonts w:ascii="Cambria Math" w:hAnsi="Cambria Math"/>
                        <w:i/>
                      </w:rPr>
                    </m:ctrlPr>
                  </m:sSubPr>
                  <m:e>
                    <m:r>
                      <w:rPr>
                        <w:rFonts w:ascii="Cambria Math" w:hAnsi="Cambria Math"/>
                      </w:rPr>
                      <m:t>D</m:t>
                    </m:r>
                  </m:e>
                  <m:sub>
                    <m:r>
                      <w:rPr>
                        <w:rFonts w:ascii="Cambria Math" w:hAnsi="Cambria Math"/>
                      </w:rPr>
                      <m:t>P</m:t>
                    </m:r>
                  </m:sub>
                </m:sSub>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+T</m:t>
                </m:r>
                <m:sSub>
                  <m:sSubPr>
                    <m:ctrlPr>
                      <w:rPr>
                        <w:rFonts w:ascii="Cambria Math" w:hAnsi="Cambria Math"/>
                        <w:i/>
                      </w:rPr>
                    </m:ctrlPr>
                  </m:sSubPr>
                  <m:e>
                    <m:r>
                      <w:rPr>
                        <w:rFonts w:ascii="Cambria Math" w:hAnsi="Cambria Math"/>
                      </w:rPr>
                      <m:t>D</m:t>
                    </m:r>
                  </m:e>
                  <m:sub>
                    <m:r>
                      <w:rPr>
                        <w:rFonts w:ascii="Cambria Math" w:hAnsi="Cambria Math"/>
                      </w:rPr>
                      <m:t>FP</m:t>
                    </m:r>
                  </m:sub>
                </m:sSub>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FP</m:t>
                    </m:r>
                  </m:sub>
                </m:sSub>
              </m:oMath>
            </m:oMathPara>
          </w:p>
        </w:tc>
        <w:tc>
          <w:tcPr>
            <w:tcW w:w="676" w:type="dxa"/>
            <w:tcBorders>
              <w:top w:val="nil"/>
              <w:left w:val="nil"/>
              <w:bottom w:val="nil"/>
              <w:right w:val="nil"/>
            </w:tcBorders>
            <w:vAlign w:val="center"/>
          </w:tcPr>
          <w:p w:rsidR="00810694" w:rsidRDefault="00810694" w:rsidP="00810694">
            <w:pPr>
              <w:keepNext/>
              <w:rPr>
                <w:rFonts w:cs="Arial"/>
                <w:szCs w:val="24"/>
              </w:rPr>
            </w:pPr>
            <w:r>
              <w:rPr>
                <w:rFonts w:cs="Arial"/>
                <w:szCs w:val="24"/>
              </w:rPr>
              <w:t>(24)</w:t>
            </w:r>
          </w:p>
        </w:tc>
      </w:tr>
    </w:tbl>
    <w:p w:rsidR="00810694" w:rsidRPr="00810694" w:rsidRDefault="00810694" w:rsidP="00810694">
      <w:pPr>
        <w:pStyle w:val="Legenda"/>
        <w:rPr>
          <w:color w:val="FFFFFF" w:themeColor="background1"/>
        </w:rPr>
      </w:pPr>
      <w:bookmarkStart w:id="81" w:name="_Ref488101483"/>
      <w:r w:rsidRPr="00810694">
        <w:rPr>
          <w:color w:val="FFFFFF" w:themeColor="background1"/>
        </w:rPr>
        <w:t xml:space="preserve">Equação </w:t>
      </w:r>
      <w:r w:rsidR="001144AF">
        <w:rPr>
          <w:color w:val="FFFFFF" w:themeColor="background1"/>
        </w:rPr>
        <w:fldChar w:fldCharType="begin"/>
      </w:r>
      <w:r w:rsidR="001144AF">
        <w:rPr>
          <w:color w:val="FFFFFF" w:themeColor="background1"/>
        </w:rPr>
        <w:instrText xml:space="preserve"> SEQ Equação \* ARABIC </w:instrText>
      </w:r>
      <w:r w:rsidR="001144AF">
        <w:rPr>
          <w:color w:val="FFFFFF" w:themeColor="background1"/>
        </w:rPr>
        <w:fldChar w:fldCharType="separate"/>
      </w:r>
      <w:r w:rsidR="001144AF">
        <w:rPr>
          <w:noProof/>
          <w:color w:val="FFFFFF" w:themeColor="background1"/>
        </w:rPr>
        <w:t>24</w:t>
      </w:r>
      <w:r w:rsidR="001144AF">
        <w:rPr>
          <w:color w:val="FFFFFF" w:themeColor="background1"/>
        </w:rPr>
        <w:fldChar w:fldCharType="end"/>
      </w:r>
      <w:bookmarkEnd w:id="81"/>
    </w:p>
    <w:p w:rsidR="002B49E7" w:rsidRDefault="0095518B" w:rsidP="00810694">
      <w:pPr>
        <w:pStyle w:val="Nvel3-PG"/>
        <w:jc w:val="both"/>
      </w:pPr>
      <w:bookmarkStart w:id="82" w:name="_Toc488678353"/>
      <w:r>
        <w:t>2.9</w:t>
      </w:r>
      <w:r w:rsidR="00A42C4C" w:rsidRPr="00A42C4C">
        <w:t>.6 Bandeiras tarifárias</w:t>
      </w:r>
      <w:bookmarkEnd w:id="82"/>
    </w:p>
    <w:p w:rsidR="00AF0D12" w:rsidRPr="003F4B46" w:rsidRDefault="00A42C4C" w:rsidP="003F4B46">
      <w:pPr>
        <w:autoSpaceDE w:val="0"/>
        <w:autoSpaceDN w:val="0"/>
        <w:adjustRightInd w:val="0"/>
        <w:contextualSpacing w:val="0"/>
      </w:pPr>
      <w:r>
        <w:rPr>
          <w:rFonts w:cs="Arial"/>
        </w:rPr>
        <w:t>Desde o ano de</w:t>
      </w:r>
      <w:r w:rsidRPr="00A42C4C">
        <w:rPr>
          <w:rFonts w:cs="Arial"/>
        </w:rPr>
        <w:t xml:space="preserve"> 2015, todas as concessionárias conectadas ao Sistema Interligado Nacional </w:t>
      </w:r>
      <w:r>
        <w:rPr>
          <w:rFonts w:cs="Arial"/>
        </w:rPr>
        <w:t>(</w:t>
      </w:r>
      <w:r w:rsidRPr="00A42C4C">
        <w:rPr>
          <w:rFonts w:cs="Arial"/>
        </w:rPr>
        <w:t>SIN</w:t>
      </w:r>
      <w:r>
        <w:rPr>
          <w:rFonts w:cs="Arial"/>
        </w:rPr>
        <w:t>), introduziram n</w:t>
      </w:r>
      <w:r w:rsidRPr="00A42C4C">
        <w:rPr>
          <w:rFonts w:cs="Arial"/>
        </w:rPr>
        <w:t>as contas de energia</w:t>
      </w:r>
      <w:r w:rsidR="00AF0D12">
        <w:rPr>
          <w:rFonts w:cs="Arial"/>
        </w:rPr>
        <w:t xml:space="preserve"> elétrica</w:t>
      </w:r>
      <w:r w:rsidRPr="00A42C4C">
        <w:rPr>
          <w:rFonts w:cs="Arial"/>
        </w:rPr>
        <w:t xml:space="preserve"> uma novidade: o sistema de Bandeiras Tarifárias. </w:t>
      </w:r>
      <w:r w:rsidR="00AF0D12">
        <w:rPr>
          <w:rFonts w:cs="Arial"/>
          <w:shd w:val="clear" w:color="auto" w:fill="FFFFFF"/>
        </w:rPr>
        <w:t>O sistema</w:t>
      </w:r>
      <w:r w:rsidRPr="00A42C4C">
        <w:rPr>
          <w:rFonts w:cs="Arial"/>
          <w:shd w:val="clear" w:color="auto" w:fill="FFFFFF"/>
        </w:rPr>
        <w:t xml:space="preserve"> sinaliza aos consumidores os custos reais da </w:t>
      </w:r>
      <w:r w:rsidRPr="00A42C4C">
        <w:rPr>
          <w:rFonts w:cs="Arial"/>
          <w:shd w:val="clear" w:color="auto" w:fill="FFFFFF"/>
        </w:rPr>
        <w:lastRenderedPageBreak/>
        <w:t>geração de energia elétrica. O funcionamento é simples: as cores das bandeiras indicam se a energia custará mais ou menos em função das condições de geração de eletricidade</w:t>
      </w:r>
      <w:r w:rsidR="00AF0D12">
        <w:rPr>
          <w:rFonts w:cs="Arial"/>
          <w:shd w:val="clear" w:color="auto" w:fill="FFFFFF"/>
        </w:rPr>
        <w:t xml:space="preserve"> em cada dia</w:t>
      </w:r>
      <w:r w:rsidRPr="00A42C4C">
        <w:rPr>
          <w:rFonts w:cs="Arial"/>
          <w:shd w:val="clear" w:color="auto" w:fill="FFFFFF"/>
        </w:rPr>
        <w:t>. Com as bandeiras, a conta de luz fica mais transparente e o consumidor tem a melhor informação para usar a energia elétrica de forma mais consciente.</w:t>
      </w:r>
      <w:r w:rsidR="003F4B46" w:rsidRPr="003F4B46">
        <w:t xml:space="preserve"> </w:t>
      </w:r>
      <w:r w:rsidR="003F4B46">
        <w:t>[44]</w:t>
      </w:r>
    </w:p>
    <w:p w:rsidR="00A42C4C" w:rsidRPr="00A42C4C" w:rsidRDefault="00A42C4C" w:rsidP="00A42C4C">
      <w:pPr>
        <w:pStyle w:val="NormalWeb"/>
        <w:shd w:val="clear" w:color="auto" w:fill="FFFFFF"/>
        <w:spacing w:before="0" w:beforeAutospacing="0" w:afterLines="120" w:after="288" w:afterAutospacing="0" w:line="360" w:lineRule="auto"/>
        <w:jc w:val="both"/>
        <w:rPr>
          <w:rFonts w:ascii="Arial" w:hAnsi="Arial" w:cs="Arial"/>
        </w:rPr>
      </w:pPr>
      <w:r>
        <w:rPr>
          <w:rFonts w:ascii="Arial" w:hAnsi="Arial" w:cs="Arial"/>
        </w:rPr>
        <w:t>O sistema possui três bandeiras:</w:t>
      </w:r>
      <w:r w:rsidRPr="00A42C4C">
        <w:rPr>
          <w:rFonts w:ascii="Arial" w:hAnsi="Arial" w:cs="Arial"/>
        </w:rPr>
        <w:t xml:space="preserve"> verde, amarela e</w:t>
      </w:r>
      <w:r>
        <w:rPr>
          <w:rFonts w:ascii="Arial" w:hAnsi="Arial" w:cs="Arial"/>
        </w:rPr>
        <w:t xml:space="preserve"> vermelha, e</w:t>
      </w:r>
      <w:r w:rsidRPr="00A42C4C">
        <w:rPr>
          <w:rFonts w:ascii="Arial" w:hAnsi="Arial" w:cs="Arial"/>
        </w:rPr>
        <w:t xml:space="preserve"> indicam se a energia custa mais ou menos, em função das condições de geração de eletricidade:</w:t>
      </w:r>
    </w:p>
    <w:p w:rsidR="00A42C4C" w:rsidRPr="00A42C4C" w:rsidRDefault="00A42C4C" w:rsidP="00F822E4">
      <w:pPr>
        <w:pStyle w:val="NormalWeb"/>
        <w:numPr>
          <w:ilvl w:val="0"/>
          <w:numId w:val="6"/>
        </w:numPr>
        <w:shd w:val="clear" w:color="auto" w:fill="FFFFFF"/>
        <w:tabs>
          <w:tab w:val="left" w:pos="284"/>
        </w:tabs>
        <w:spacing w:before="0" w:beforeAutospacing="0" w:after="120" w:afterAutospacing="0" w:line="360" w:lineRule="auto"/>
        <w:ind w:left="284" w:hanging="284"/>
        <w:jc w:val="both"/>
        <w:rPr>
          <w:rFonts w:ascii="Arial" w:hAnsi="Arial" w:cs="Arial"/>
        </w:rPr>
      </w:pPr>
      <w:r w:rsidRPr="00A42C4C">
        <w:rPr>
          <w:rStyle w:val="nfase"/>
          <w:rFonts w:ascii="Arial" w:hAnsi="Arial" w:cs="Arial"/>
          <w:bCs/>
          <w:i w:val="0"/>
        </w:rPr>
        <w:t>Bandeira verde</w:t>
      </w:r>
      <w:r w:rsidRPr="00A42C4C">
        <w:rPr>
          <w:rFonts w:ascii="Arial" w:hAnsi="Arial" w:cs="Arial"/>
        </w:rPr>
        <w:t>: condições favoráveis de geração de energia. A tarifa não sofre nenhum acréscimo;</w:t>
      </w:r>
    </w:p>
    <w:p w:rsidR="00A42C4C" w:rsidRPr="00A42C4C" w:rsidRDefault="00A42C4C" w:rsidP="00F822E4">
      <w:pPr>
        <w:pStyle w:val="NormalWeb"/>
        <w:numPr>
          <w:ilvl w:val="0"/>
          <w:numId w:val="6"/>
        </w:numPr>
        <w:shd w:val="clear" w:color="auto" w:fill="FFFFFF"/>
        <w:tabs>
          <w:tab w:val="left" w:pos="284"/>
        </w:tabs>
        <w:spacing w:before="0" w:beforeAutospacing="0" w:after="120" w:afterAutospacing="0" w:line="360" w:lineRule="auto"/>
        <w:ind w:left="284" w:hanging="284"/>
        <w:jc w:val="both"/>
        <w:rPr>
          <w:rFonts w:ascii="Arial" w:hAnsi="Arial" w:cs="Arial"/>
        </w:rPr>
      </w:pPr>
      <w:r w:rsidRPr="00A42C4C">
        <w:rPr>
          <w:rStyle w:val="nfase"/>
          <w:rFonts w:ascii="Arial" w:hAnsi="Arial" w:cs="Arial"/>
          <w:bCs/>
          <w:i w:val="0"/>
        </w:rPr>
        <w:t>Bandeira amarela</w:t>
      </w:r>
      <w:r w:rsidRPr="00A42C4C">
        <w:rPr>
          <w:rFonts w:ascii="Arial" w:hAnsi="Arial" w:cs="Arial"/>
        </w:rPr>
        <w:t>: condições de geração menos favoráveis. A tarifa sofre acréscimo de R$ 0,020 para cada quilowatt-hora (kWh) consumidos;</w:t>
      </w:r>
    </w:p>
    <w:p w:rsidR="00A42C4C" w:rsidRPr="00A42C4C" w:rsidRDefault="00A42C4C" w:rsidP="00F822E4">
      <w:pPr>
        <w:pStyle w:val="NormalWeb"/>
        <w:numPr>
          <w:ilvl w:val="0"/>
          <w:numId w:val="6"/>
        </w:numPr>
        <w:shd w:val="clear" w:color="auto" w:fill="FFFFFF"/>
        <w:tabs>
          <w:tab w:val="left" w:pos="284"/>
        </w:tabs>
        <w:spacing w:before="0" w:beforeAutospacing="0" w:after="120" w:afterAutospacing="0" w:line="360" w:lineRule="auto"/>
        <w:ind w:left="284" w:hanging="284"/>
        <w:jc w:val="both"/>
        <w:rPr>
          <w:rFonts w:ascii="Arial" w:hAnsi="Arial" w:cs="Arial"/>
        </w:rPr>
      </w:pPr>
      <w:r w:rsidRPr="00A42C4C">
        <w:rPr>
          <w:rStyle w:val="nfase"/>
          <w:rFonts w:ascii="Arial" w:hAnsi="Arial" w:cs="Arial"/>
          <w:bCs/>
          <w:i w:val="0"/>
        </w:rPr>
        <w:t>Bandeira vermelha - Patamar 1</w:t>
      </w:r>
      <w:r w:rsidRPr="00A42C4C">
        <w:rPr>
          <w:rFonts w:ascii="Arial" w:hAnsi="Arial" w:cs="Arial"/>
        </w:rPr>
        <w:t>: condições mais custosas de geração. A tarifa sofre acréscimo de R$ 0,030 para ca</w:t>
      </w:r>
      <w:r w:rsidR="00AF0D12">
        <w:rPr>
          <w:rFonts w:ascii="Arial" w:hAnsi="Arial" w:cs="Arial"/>
        </w:rPr>
        <w:t>da quilowatt-hora kWh consumido;</w:t>
      </w:r>
    </w:p>
    <w:p w:rsidR="00A42C4C" w:rsidRPr="00A42C4C" w:rsidRDefault="00A42C4C" w:rsidP="00F822E4">
      <w:pPr>
        <w:pStyle w:val="NormalWeb"/>
        <w:numPr>
          <w:ilvl w:val="0"/>
          <w:numId w:val="6"/>
        </w:numPr>
        <w:shd w:val="clear" w:color="auto" w:fill="FFFFFF"/>
        <w:tabs>
          <w:tab w:val="left" w:pos="284"/>
        </w:tabs>
        <w:spacing w:before="0" w:beforeAutospacing="0" w:after="120" w:afterAutospacing="0" w:line="360" w:lineRule="auto"/>
        <w:ind w:left="284" w:hanging="284"/>
        <w:jc w:val="both"/>
        <w:rPr>
          <w:rFonts w:ascii="Arial" w:hAnsi="Arial" w:cs="Arial"/>
        </w:rPr>
      </w:pPr>
      <w:r w:rsidRPr="00A42C4C">
        <w:rPr>
          <w:rStyle w:val="nfase"/>
          <w:rFonts w:ascii="Arial" w:hAnsi="Arial" w:cs="Arial"/>
          <w:bCs/>
          <w:i w:val="0"/>
        </w:rPr>
        <w:t>Bandeira vermelha - Patamar 2</w:t>
      </w:r>
      <w:r w:rsidRPr="00A42C4C">
        <w:rPr>
          <w:rFonts w:ascii="Arial" w:hAnsi="Arial" w:cs="Arial"/>
        </w:rPr>
        <w:t>: condições ainda mais custosas de geração. A tarifa sofre acréscimo de R$ 0,035 para cada quilowatt-hora kWh consumido.</w:t>
      </w:r>
    </w:p>
    <w:p w:rsidR="00AF0D12" w:rsidRDefault="00AF0D12" w:rsidP="002B49E7">
      <w:pPr>
        <w:autoSpaceDE w:val="0"/>
        <w:autoSpaceDN w:val="0"/>
        <w:adjustRightInd w:val="0"/>
        <w:contextualSpacing w:val="0"/>
        <w:rPr>
          <w:color w:val="FF0000"/>
        </w:rPr>
      </w:pPr>
    </w:p>
    <w:p w:rsidR="002B49E7" w:rsidRDefault="0095518B" w:rsidP="00A86CE4">
      <w:pPr>
        <w:pStyle w:val="Nvel3-PG"/>
      </w:pPr>
      <w:bookmarkStart w:id="83" w:name="_Toc488678354"/>
      <w:r>
        <w:t>2.9</w:t>
      </w:r>
      <w:r w:rsidR="00A42C4C">
        <w:t>.7</w:t>
      </w:r>
      <w:r w:rsidR="002B49E7">
        <w:t xml:space="preserve"> Tributos aplicáveis ao setor elétrico</w:t>
      </w:r>
      <w:bookmarkEnd w:id="83"/>
    </w:p>
    <w:p w:rsidR="002B49E7" w:rsidRDefault="002B49E7" w:rsidP="002B49E7">
      <w:pPr>
        <w:autoSpaceDE w:val="0"/>
        <w:autoSpaceDN w:val="0"/>
        <w:adjustRightInd w:val="0"/>
        <w:contextualSpacing w:val="0"/>
      </w:pPr>
      <w:r>
        <w:t xml:space="preserve">No Brasil, os tributos estão embutidos nos preços dos bens e serviços. Isto significa que nas faturas de energia, os consumidores pagam tributos federais, estaduais e municipais, que posteriormente são repassados aos cofres públicos pelas distribuidoras de energia. </w:t>
      </w:r>
      <w:r w:rsidR="003F4B46">
        <w:t>[44]</w:t>
      </w:r>
    </w:p>
    <w:p w:rsidR="002B49E7" w:rsidRDefault="002B49E7" w:rsidP="002B49E7">
      <w:pPr>
        <w:autoSpaceDE w:val="0"/>
        <w:autoSpaceDN w:val="0"/>
        <w:adjustRightInd w:val="0"/>
        <w:contextualSpacing w:val="0"/>
      </w:pPr>
      <w:r>
        <w:t>A ANEEL publica, por meio de resolução, o valor da tarifa de energia elétrica, sem os tributos, por classe de consumo (residencial, comercial e industrial, etc.). Com base nesses valores, as distribuidoras de energia incluem os tributos (PIS, COFINS, ICMS) e emitem a fatura de energia que os consumidores pagam.</w:t>
      </w:r>
      <w:r w:rsidR="003F4B46" w:rsidRPr="003F4B46">
        <w:t xml:space="preserve"> </w:t>
      </w:r>
      <w:r w:rsidR="003F4B46">
        <w:t>[44]</w:t>
      </w:r>
    </w:p>
    <w:p w:rsidR="002B49E7" w:rsidRPr="001144AF" w:rsidRDefault="002B49E7" w:rsidP="002B49E7">
      <w:pPr>
        <w:autoSpaceDE w:val="0"/>
        <w:autoSpaceDN w:val="0"/>
        <w:adjustRightInd w:val="0"/>
        <w:contextualSpacing w:val="0"/>
      </w:pPr>
      <w:r>
        <w:t>O cálculo para os tr</w:t>
      </w:r>
      <w:r w:rsidR="00DD091A">
        <w:t>ibutos descritos acima é feito sob uma metodologia conhecida como “</w:t>
      </w:r>
      <w:r>
        <w:t xml:space="preserve">por dentro”, </w:t>
      </w:r>
      <w:r w:rsidR="00DD091A">
        <w:t xml:space="preserve">de acordo com a </w:t>
      </w:r>
      <w:r w:rsidR="00DD091A" w:rsidRPr="001144AF">
        <w:fldChar w:fldCharType="begin"/>
      </w:r>
      <w:r w:rsidR="00DD091A" w:rsidRPr="001144AF">
        <w:instrText xml:space="preserve"> REF _Ref488102234 \h </w:instrText>
      </w:r>
      <w:r w:rsidR="00DD091A" w:rsidRPr="001144AF">
        <w:fldChar w:fldCharType="separate"/>
      </w:r>
      <w:r w:rsidR="00380A8E" w:rsidRPr="001144AF">
        <w:t xml:space="preserve">Equação </w:t>
      </w:r>
      <w:r w:rsidR="00380A8E" w:rsidRPr="001144AF">
        <w:rPr>
          <w:noProof/>
        </w:rPr>
        <w:t>25</w:t>
      </w:r>
      <w:r w:rsidR="00DD091A" w:rsidRPr="001144AF">
        <w:fldChar w:fldCharType="end"/>
      </w:r>
      <w:r w:rsidRPr="001144AF">
        <w:t>.</w:t>
      </w:r>
    </w:p>
    <w:tbl>
      <w:tblPr>
        <w:tblStyle w:val="Tabelacomgrade"/>
        <w:tblW w:w="0" w:type="auto"/>
        <w:tblCellMar>
          <w:left w:w="0" w:type="dxa"/>
          <w:right w:w="0" w:type="dxa"/>
        </w:tblCellMar>
        <w:tblLook w:val="04A0" w:firstRow="1" w:lastRow="0" w:firstColumn="1" w:lastColumn="0" w:noHBand="0" w:noVBand="1"/>
      </w:tblPr>
      <w:tblGrid>
        <w:gridCol w:w="8395"/>
        <w:gridCol w:w="676"/>
      </w:tblGrid>
      <w:tr w:rsidR="00DD091A" w:rsidRPr="00DD091A" w:rsidTr="00DD091A">
        <w:tc>
          <w:tcPr>
            <w:tcW w:w="8395" w:type="dxa"/>
            <w:tcBorders>
              <w:top w:val="nil"/>
              <w:left w:val="nil"/>
              <w:bottom w:val="nil"/>
              <w:right w:val="nil"/>
            </w:tcBorders>
            <w:vAlign w:val="center"/>
          </w:tcPr>
          <w:p w:rsidR="00DD091A" w:rsidRPr="00DD091A" w:rsidRDefault="00DD091A" w:rsidP="00DD091A">
            <w:pPr>
              <w:autoSpaceDE w:val="0"/>
              <w:autoSpaceDN w:val="0"/>
              <w:adjustRightInd w:val="0"/>
              <w:spacing w:after="0" w:line="240" w:lineRule="auto"/>
              <w:contextualSpacing w:val="0"/>
              <w:rPr>
                <w:rFonts w:ascii="Cambria Math" w:hAnsi="Cambria Math"/>
                <w:i/>
              </w:rPr>
            </w:pPr>
            <m:oMathPara>
              <m:oMath>
                <m:r>
                  <w:rPr>
                    <w:rFonts w:ascii="Cambria Math" w:hAnsi="Cambria Math"/>
                  </w:rPr>
                  <m:t>Valor cobrado=</m:t>
                </m:r>
                <m:f>
                  <m:fPr>
                    <m:ctrlPr>
                      <w:rPr>
                        <w:rFonts w:ascii="Cambria Math" w:hAnsi="Cambria Math"/>
                        <w:i/>
                      </w:rPr>
                    </m:ctrlPr>
                  </m:fPr>
                  <m:num>
                    <m:r>
                      <w:rPr>
                        <w:rFonts w:ascii="Cambria Math" w:hAnsi="Cambria Math"/>
                      </w:rPr>
                      <m:t>Valor da tarifa publicada pela ANEEL</m:t>
                    </m:r>
                  </m:num>
                  <m:den>
                    <m:r>
                      <w:rPr>
                        <w:rFonts w:ascii="Cambria Math" w:hAnsi="Cambria Math"/>
                      </w:rPr>
                      <m:t>1-(PIS+COFINS+ICMS)</m:t>
                    </m:r>
                  </m:den>
                </m:f>
              </m:oMath>
            </m:oMathPara>
          </w:p>
        </w:tc>
        <w:tc>
          <w:tcPr>
            <w:tcW w:w="676" w:type="dxa"/>
            <w:tcBorders>
              <w:top w:val="nil"/>
              <w:left w:val="nil"/>
              <w:bottom w:val="nil"/>
              <w:right w:val="nil"/>
            </w:tcBorders>
            <w:vAlign w:val="center"/>
          </w:tcPr>
          <w:p w:rsidR="00DD091A" w:rsidRPr="00DD091A" w:rsidRDefault="00DD091A" w:rsidP="00DD091A">
            <w:pPr>
              <w:keepNext/>
              <w:autoSpaceDE w:val="0"/>
              <w:autoSpaceDN w:val="0"/>
              <w:adjustRightInd w:val="0"/>
              <w:spacing w:after="0" w:line="240" w:lineRule="auto"/>
              <w:contextualSpacing w:val="0"/>
            </w:pPr>
            <w:r w:rsidRPr="00DD091A">
              <w:t>(2</w:t>
            </w:r>
            <w:r>
              <w:t>5</w:t>
            </w:r>
            <w:r w:rsidRPr="00DD091A">
              <w:t>)</w:t>
            </w:r>
          </w:p>
        </w:tc>
      </w:tr>
    </w:tbl>
    <w:p w:rsidR="00DD091A" w:rsidRPr="00DD091A" w:rsidRDefault="00DD091A" w:rsidP="00DD091A">
      <w:pPr>
        <w:pStyle w:val="Legenda"/>
        <w:rPr>
          <w:color w:val="FFFFFF" w:themeColor="background1"/>
        </w:rPr>
      </w:pPr>
      <w:bookmarkStart w:id="84" w:name="_Ref488102234"/>
      <w:r w:rsidRPr="00DD091A">
        <w:rPr>
          <w:color w:val="FFFFFF" w:themeColor="background1"/>
        </w:rPr>
        <w:t xml:space="preserve">Equação </w:t>
      </w:r>
      <w:r w:rsidR="001144AF">
        <w:rPr>
          <w:color w:val="FFFFFF" w:themeColor="background1"/>
        </w:rPr>
        <w:fldChar w:fldCharType="begin"/>
      </w:r>
      <w:r w:rsidR="001144AF">
        <w:rPr>
          <w:color w:val="FFFFFF" w:themeColor="background1"/>
        </w:rPr>
        <w:instrText xml:space="preserve"> SEQ Equação \* ARABIC </w:instrText>
      </w:r>
      <w:r w:rsidR="001144AF">
        <w:rPr>
          <w:color w:val="FFFFFF" w:themeColor="background1"/>
        </w:rPr>
        <w:fldChar w:fldCharType="separate"/>
      </w:r>
      <w:r w:rsidR="001144AF">
        <w:rPr>
          <w:noProof/>
          <w:color w:val="FFFFFF" w:themeColor="background1"/>
        </w:rPr>
        <w:t>25</w:t>
      </w:r>
      <w:r w:rsidR="001144AF">
        <w:rPr>
          <w:color w:val="FFFFFF" w:themeColor="background1"/>
        </w:rPr>
        <w:fldChar w:fldCharType="end"/>
      </w:r>
      <w:bookmarkEnd w:id="84"/>
    </w:p>
    <w:p w:rsidR="002B49E7" w:rsidRDefault="0095518B" w:rsidP="002B49E7">
      <w:pPr>
        <w:pStyle w:val="Nvel2-PG"/>
      </w:pPr>
      <w:bookmarkStart w:id="85" w:name="_Toc488678355"/>
      <w:r>
        <w:lastRenderedPageBreak/>
        <w:t>2.10</w:t>
      </w:r>
      <w:r w:rsidR="002B49E7">
        <w:t xml:space="preserve"> Potência Elétrica</w:t>
      </w:r>
      <w:bookmarkEnd w:id="85"/>
    </w:p>
    <w:p w:rsidR="002B49E7" w:rsidRDefault="002B49E7" w:rsidP="002B49E7">
      <w:pPr>
        <w:autoSpaceDE w:val="0"/>
        <w:autoSpaceDN w:val="0"/>
        <w:adjustRightInd w:val="0"/>
        <w:contextualSpacing w:val="0"/>
        <w:rPr>
          <w:rFonts w:cs="Arial"/>
          <w:szCs w:val="24"/>
        </w:rPr>
      </w:pPr>
      <w:r>
        <w:rPr>
          <w:rFonts w:cs="Arial"/>
          <w:szCs w:val="24"/>
        </w:rPr>
        <w:t xml:space="preserve">A potência elétrica pode ser </w:t>
      </w:r>
      <w:r w:rsidRPr="00EC2932">
        <w:rPr>
          <w:rFonts w:cs="Arial"/>
          <w:szCs w:val="24"/>
        </w:rPr>
        <w:t>definida como a di</w:t>
      </w:r>
      <w:r>
        <w:rPr>
          <w:rFonts w:cs="Arial"/>
          <w:szCs w:val="24"/>
        </w:rPr>
        <w:t xml:space="preserve">ferença de potencial entre dois </w:t>
      </w:r>
      <w:r w:rsidRPr="00EC2932">
        <w:rPr>
          <w:rFonts w:cs="Arial"/>
          <w:szCs w:val="24"/>
        </w:rPr>
        <w:t xml:space="preserve">terminais </w:t>
      </w:r>
      <m:oMath>
        <m:r>
          <w:rPr>
            <w:rFonts w:ascii="Cambria Math" w:hAnsi="Cambria Math" w:cs="Arial"/>
            <w:szCs w:val="24"/>
          </w:rPr>
          <m:t>(V [V])</m:t>
        </m:r>
      </m:oMath>
      <w:r>
        <w:rPr>
          <w:rFonts w:eastAsiaTheme="minorEastAsia" w:cs="Arial"/>
          <w:szCs w:val="24"/>
        </w:rPr>
        <w:t xml:space="preserve"> </w:t>
      </w:r>
      <w:r w:rsidRPr="00EC2932">
        <w:rPr>
          <w:rFonts w:cs="Arial"/>
          <w:szCs w:val="24"/>
        </w:rPr>
        <w:t>multiplicada pela corrente que passa por el</w:t>
      </w:r>
      <w:r>
        <w:rPr>
          <w:rFonts w:cs="Arial"/>
          <w:szCs w:val="24"/>
        </w:rPr>
        <w:t xml:space="preserve">es </w:t>
      </w:r>
      <m:oMath>
        <m:r>
          <w:rPr>
            <w:rFonts w:ascii="Cambria Math" w:hAnsi="Cambria Math" w:cs="Arial"/>
            <w:szCs w:val="24"/>
          </w:rPr>
          <m:t>(I [A])</m:t>
        </m:r>
      </m:oMath>
      <w:r w:rsidR="00DD091A">
        <w:rPr>
          <w:rFonts w:cs="Arial"/>
          <w:szCs w:val="24"/>
        </w:rPr>
        <w:t>. Desta forma, se obtém</w:t>
      </w:r>
      <w:r>
        <w:rPr>
          <w:rFonts w:cs="Arial"/>
          <w:szCs w:val="24"/>
        </w:rPr>
        <w:t xml:space="preserve"> </w:t>
      </w:r>
      <w:r w:rsidR="00DD091A">
        <w:rPr>
          <w:rFonts w:cs="Arial"/>
          <w:szCs w:val="24"/>
        </w:rPr>
        <w:t xml:space="preserve">a </w:t>
      </w:r>
      <w:r w:rsidR="00DD091A" w:rsidRPr="001144AF">
        <w:rPr>
          <w:rFonts w:cs="Arial"/>
          <w:szCs w:val="24"/>
        </w:rPr>
        <w:fldChar w:fldCharType="begin"/>
      </w:r>
      <w:r w:rsidR="00DD091A" w:rsidRPr="001144AF">
        <w:rPr>
          <w:rFonts w:cs="Arial"/>
          <w:szCs w:val="24"/>
        </w:rPr>
        <w:instrText xml:space="preserve"> REF _Ref488102369 \h </w:instrText>
      </w:r>
      <w:r w:rsidR="00DD091A" w:rsidRPr="001144AF">
        <w:rPr>
          <w:rFonts w:cs="Arial"/>
          <w:szCs w:val="24"/>
        </w:rPr>
      </w:r>
      <w:r w:rsidR="00DD091A" w:rsidRPr="001144AF">
        <w:rPr>
          <w:rFonts w:cs="Arial"/>
          <w:szCs w:val="24"/>
        </w:rPr>
        <w:fldChar w:fldCharType="separate"/>
      </w:r>
      <w:r w:rsidR="00380A8E" w:rsidRPr="001144AF">
        <w:t xml:space="preserve">Equação </w:t>
      </w:r>
      <w:r w:rsidR="00380A8E" w:rsidRPr="001144AF">
        <w:rPr>
          <w:noProof/>
        </w:rPr>
        <w:t>26</w:t>
      </w:r>
      <w:r w:rsidR="00DD091A" w:rsidRPr="001144AF">
        <w:rPr>
          <w:rFonts w:cs="Arial"/>
          <w:szCs w:val="24"/>
        </w:rPr>
        <w:fldChar w:fldCharType="end"/>
      </w:r>
      <w:r w:rsidR="00DD091A" w:rsidRPr="001144AF">
        <w:rPr>
          <w:rFonts w:cs="Arial"/>
          <w:szCs w:val="24"/>
        </w:rPr>
        <w:t xml:space="preserve">, </w:t>
      </w:r>
      <w:r w:rsidRPr="00EC2932">
        <w:rPr>
          <w:rFonts w:cs="Arial"/>
          <w:szCs w:val="24"/>
        </w:rPr>
        <w:t>conhecida como a equação da potên</w:t>
      </w:r>
      <w:r>
        <w:rPr>
          <w:rFonts w:cs="Arial"/>
          <w:szCs w:val="24"/>
        </w:rPr>
        <w:t>cia elétrica.</w:t>
      </w:r>
    </w:p>
    <w:tbl>
      <w:tblPr>
        <w:tblStyle w:val="Tabelacomgrade"/>
        <w:tblW w:w="0" w:type="auto"/>
        <w:tblCellMar>
          <w:left w:w="0" w:type="dxa"/>
          <w:right w:w="0" w:type="dxa"/>
        </w:tblCellMar>
        <w:tblLook w:val="04A0" w:firstRow="1" w:lastRow="0" w:firstColumn="1" w:lastColumn="0" w:noHBand="0" w:noVBand="1"/>
      </w:tblPr>
      <w:tblGrid>
        <w:gridCol w:w="8395"/>
        <w:gridCol w:w="676"/>
      </w:tblGrid>
      <w:tr w:rsidR="002B49E7" w:rsidTr="00A42C4C">
        <w:tc>
          <w:tcPr>
            <w:tcW w:w="8395" w:type="dxa"/>
            <w:tcBorders>
              <w:top w:val="nil"/>
              <w:left w:val="nil"/>
              <w:bottom w:val="nil"/>
              <w:right w:val="nil"/>
            </w:tcBorders>
            <w:vAlign w:val="center"/>
          </w:tcPr>
          <w:p w:rsidR="002B49E7" w:rsidRDefault="00D83C6E" w:rsidP="00DD091A">
            <w:pPr>
              <w:autoSpaceDE w:val="0"/>
              <w:autoSpaceDN w:val="0"/>
              <w:adjustRightInd w:val="0"/>
              <w:spacing w:after="0" w:line="240" w:lineRule="auto"/>
              <w:contextualSpacing w:val="0"/>
              <w:rPr>
                <w:rFonts w:cs="Arial"/>
                <w:szCs w:val="24"/>
              </w:rPr>
            </w:pPr>
            <m:oMathPara>
              <m:oMath>
                <m:sSub>
                  <m:sSubPr>
                    <m:ctrlPr>
                      <w:rPr>
                        <w:rFonts w:ascii="Cambria Math" w:hAnsi="Cambria Math" w:cs="Arial"/>
                        <w:i/>
                        <w:szCs w:val="24"/>
                      </w:rPr>
                    </m:ctrlPr>
                  </m:sSubPr>
                  <m:e>
                    <m:acc>
                      <m:accPr>
                        <m:chr m:val="̇"/>
                        <m:ctrlPr>
                          <w:rPr>
                            <w:rFonts w:ascii="Cambria Math" w:hAnsi="Cambria Math" w:cs="Arial"/>
                            <w:i/>
                            <w:szCs w:val="24"/>
                          </w:rPr>
                        </m:ctrlPr>
                      </m:accPr>
                      <m:e>
                        <m:r>
                          <w:rPr>
                            <w:rFonts w:ascii="Cambria Math" w:hAnsi="Cambria Math" w:cs="Arial"/>
                            <w:szCs w:val="24"/>
                          </w:rPr>
                          <m:t>W</m:t>
                        </m:r>
                      </m:e>
                    </m:acc>
                  </m:e>
                  <m:sub>
                    <m:r>
                      <w:rPr>
                        <w:rFonts w:ascii="Cambria Math" w:hAnsi="Cambria Math" w:cs="Arial"/>
                        <w:szCs w:val="24"/>
                      </w:rPr>
                      <m:t>Aparente</m:t>
                    </m:r>
                  </m:sub>
                </m:sSub>
                <m:r>
                  <w:rPr>
                    <w:rFonts w:ascii="Cambria Math" w:hAnsi="Cambria Math" w:cs="Arial"/>
                    <w:szCs w:val="24"/>
                  </w:rPr>
                  <m:t>=V×I</m:t>
                </m:r>
              </m:oMath>
            </m:oMathPara>
          </w:p>
        </w:tc>
        <w:tc>
          <w:tcPr>
            <w:tcW w:w="676" w:type="dxa"/>
            <w:tcBorders>
              <w:top w:val="nil"/>
              <w:left w:val="nil"/>
              <w:bottom w:val="nil"/>
              <w:right w:val="nil"/>
            </w:tcBorders>
            <w:vAlign w:val="center"/>
          </w:tcPr>
          <w:p w:rsidR="002B49E7" w:rsidRDefault="002B49E7" w:rsidP="00DD091A">
            <w:pPr>
              <w:keepNext/>
              <w:autoSpaceDE w:val="0"/>
              <w:autoSpaceDN w:val="0"/>
              <w:adjustRightInd w:val="0"/>
              <w:spacing w:after="0" w:line="240" w:lineRule="auto"/>
              <w:contextualSpacing w:val="0"/>
              <w:jc w:val="center"/>
              <w:rPr>
                <w:rFonts w:cs="Arial"/>
                <w:szCs w:val="24"/>
              </w:rPr>
            </w:pPr>
            <w:r>
              <w:rPr>
                <w:rFonts w:cs="Arial"/>
                <w:szCs w:val="24"/>
              </w:rPr>
              <w:t>(</w:t>
            </w:r>
            <w:r w:rsidR="00DD091A">
              <w:rPr>
                <w:rFonts w:cs="Arial"/>
                <w:szCs w:val="24"/>
              </w:rPr>
              <w:t>26</w:t>
            </w:r>
            <w:r>
              <w:rPr>
                <w:rFonts w:cs="Arial"/>
                <w:szCs w:val="24"/>
              </w:rPr>
              <w:t>)</w:t>
            </w:r>
          </w:p>
        </w:tc>
      </w:tr>
    </w:tbl>
    <w:p w:rsidR="00DD091A" w:rsidRPr="00DD091A" w:rsidRDefault="00DD091A">
      <w:pPr>
        <w:pStyle w:val="Legenda"/>
        <w:rPr>
          <w:color w:val="FFFFFF" w:themeColor="background1"/>
        </w:rPr>
      </w:pPr>
      <w:bookmarkStart w:id="86" w:name="_Ref488102369"/>
      <w:r w:rsidRPr="00DD091A">
        <w:rPr>
          <w:color w:val="FFFFFF" w:themeColor="background1"/>
        </w:rPr>
        <w:t xml:space="preserve">Equação </w:t>
      </w:r>
      <w:r w:rsidR="001144AF">
        <w:rPr>
          <w:color w:val="FFFFFF" w:themeColor="background1"/>
        </w:rPr>
        <w:fldChar w:fldCharType="begin"/>
      </w:r>
      <w:r w:rsidR="001144AF">
        <w:rPr>
          <w:color w:val="FFFFFF" w:themeColor="background1"/>
        </w:rPr>
        <w:instrText xml:space="preserve"> SEQ Equação \* ARABIC </w:instrText>
      </w:r>
      <w:r w:rsidR="001144AF">
        <w:rPr>
          <w:color w:val="FFFFFF" w:themeColor="background1"/>
        </w:rPr>
        <w:fldChar w:fldCharType="separate"/>
      </w:r>
      <w:r w:rsidR="001144AF">
        <w:rPr>
          <w:noProof/>
          <w:color w:val="FFFFFF" w:themeColor="background1"/>
        </w:rPr>
        <w:t>26</w:t>
      </w:r>
      <w:r w:rsidR="001144AF">
        <w:rPr>
          <w:color w:val="FFFFFF" w:themeColor="background1"/>
        </w:rPr>
        <w:fldChar w:fldCharType="end"/>
      </w:r>
      <w:bookmarkEnd w:id="86"/>
    </w:p>
    <w:p w:rsidR="003F4B46" w:rsidRDefault="002B49E7" w:rsidP="002B49E7">
      <w:pPr>
        <w:autoSpaceDE w:val="0"/>
        <w:autoSpaceDN w:val="0"/>
        <w:adjustRightInd w:val="0"/>
        <w:contextualSpacing w:val="0"/>
        <w:rPr>
          <w:rFonts w:cs="Arial"/>
          <w:szCs w:val="24"/>
        </w:rPr>
      </w:pPr>
      <w:r>
        <w:rPr>
          <w:rFonts w:cs="Arial"/>
          <w:szCs w:val="24"/>
        </w:rPr>
        <w:t xml:space="preserve">Todavia, esta potência se divida nas potências ativa </w:t>
      </w:r>
      <m:oMath>
        <m:r>
          <w:rPr>
            <w:rFonts w:ascii="Cambria Math" w:hAnsi="Cambria Math" w:cs="Arial"/>
            <w:szCs w:val="24"/>
          </w:rPr>
          <m:t>(W)</m:t>
        </m:r>
      </m:oMath>
      <w:r>
        <w:rPr>
          <w:rFonts w:cs="Arial"/>
          <w:szCs w:val="24"/>
        </w:rPr>
        <w:t xml:space="preserve"> e reativa </w:t>
      </w:r>
      <m:oMath>
        <m:r>
          <w:rPr>
            <w:rFonts w:ascii="Cambria Math" w:hAnsi="Cambria Math" w:cs="Arial"/>
            <w:szCs w:val="24"/>
          </w:rPr>
          <m:t>(VAr)</m:t>
        </m:r>
      </m:oMath>
      <w:r>
        <w:rPr>
          <w:rFonts w:cs="Arial"/>
          <w:szCs w:val="24"/>
        </w:rPr>
        <w:t>. Apenas a potência ativa realiza trabalho.  A potência r</w:t>
      </w:r>
      <w:r w:rsidRPr="00C44733">
        <w:rPr>
          <w:rFonts w:cs="Arial"/>
          <w:szCs w:val="24"/>
        </w:rPr>
        <w:t>eativa</w:t>
      </w:r>
      <w:r>
        <w:rPr>
          <w:rFonts w:cs="Arial"/>
          <w:szCs w:val="24"/>
        </w:rPr>
        <w:t xml:space="preserve"> é</w:t>
      </w:r>
      <w:r w:rsidRPr="00C44733">
        <w:rPr>
          <w:rFonts w:cs="Arial"/>
          <w:szCs w:val="24"/>
        </w:rPr>
        <w:t xml:space="preserve"> a potência usada para ma</w:t>
      </w:r>
      <w:r>
        <w:rPr>
          <w:rFonts w:cs="Arial"/>
          <w:szCs w:val="24"/>
        </w:rPr>
        <w:t xml:space="preserve">nter e gerar campos magnéticos, </w:t>
      </w:r>
      <w:r w:rsidRPr="00C44733">
        <w:rPr>
          <w:rFonts w:cs="Arial"/>
          <w:szCs w:val="24"/>
        </w:rPr>
        <w:t>normalmente criados por indutores em equipamentos elétricos com elementos girantes</w:t>
      </w:r>
      <w:r>
        <w:rPr>
          <w:rFonts w:cs="Arial"/>
          <w:szCs w:val="24"/>
        </w:rPr>
        <w:t xml:space="preserve"> </w:t>
      </w:r>
      <w:r w:rsidRPr="00C44733">
        <w:rPr>
          <w:rFonts w:cs="Arial"/>
          <w:szCs w:val="24"/>
        </w:rPr>
        <w:t>como ventiladores, motores, etc. É uma potência que não realiza trabalho</w:t>
      </w:r>
      <w:r>
        <w:rPr>
          <w:rFonts w:cs="Arial"/>
          <w:szCs w:val="24"/>
        </w:rPr>
        <w:t>, sendo indesejada</w:t>
      </w:r>
      <w:r w:rsidRPr="00C44733">
        <w:rPr>
          <w:rFonts w:cs="Arial"/>
          <w:szCs w:val="24"/>
        </w:rPr>
        <w:t xml:space="preserve"> e </w:t>
      </w:r>
      <w:r>
        <w:rPr>
          <w:rFonts w:cs="Arial"/>
          <w:szCs w:val="24"/>
        </w:rPr>
        <w:t>causadora d</w:t>
      </w:r>
      <w:r w:rsidRPr="00C44733">
        <w:rPr>
          <w:rFonts w:cs="Arial"/>
          <w:szCs w:val="24"/>
        </w:rPr>
        <w:t>o efeito Joule, isto é</w:t>
      </w:r>
      <w:r>
        <w:rPr>
          <w:rFonts w:cs="Arial"/>
          <w:szCs w:val="24"/>
        </w:rPr>
        <w:t>,</w:t>
      </w:r>
      <w:r w:rsidRPr="00C44733">
        <w:rPr>
          <w:rFonts w:cs="Arial"/>
          <w:szCs w:val="24"/>
        </w:rPr>
        <w:t xml:space="preserve"> a dissipação de energia na forma</w:t>
      </w:r>
      <w:r>
        <w:rPr>
          <w:rFonts w:cs="Arial"/>
          <w:szCs w:val="24"/>
        </w:rPr>
        <w:t xml:space="preserve"> </w:t>
      </w:r>
      <w:r w:rsidRPr="00C44733">
        <w:rPr>
          <w:rFonts w:cs="Arial"/>
          <w:szCs w:val="24"/>
        </w:rPr>
        <w:t>de calor.</w:t>
      </w:r>
      <w:r w:rsidR="003F4B46">
        <w:rPr>
          <w:rFonts w:cs="Arial"/>
          <w:szCs w:val="24"/>
        </w:rPr>
        <w:t xml:space="preserve"> [24]</w:t>
      </w:r>
    </w:p>
    <w:p w:rsidR="005C1F1F" w:rsidRDefault="002B49E7" w:rsidP="002B49E7">
      <w:pPr>
        <w:autoSpaceDE w:val="0"/>
        <w:autoSpaceDN w:val="0"/>
        <w:adjustRightInd w:val="0"/>
        <w:contextualSpacing w:val="0"/>
        <w:rPr>
          <w:rFonts w:cs="Arial"/>
          <w:szCs w:val="24"/>
        </w:rPr>
      </w:pPr>
      <w:r>
        <w:rPr>
          <w:rFonts w:cs="Arial"/>
          <w:szCs w:val="24"/>
        </w:rPr>
        <w:t xml:space="preserve">A potência aparente, então, é definida como a soma vetorial das potências ativa e reativa. O fator de potência é a variável que define a eficiência no uso da potência de forma ativa. Na </w:t>
      </w:r>
      <w:r w:rsidR="00DD091A">
        <w:rPr>
          <w:rFonts w:cs="Arial"/>
          <w:color w:val="FF0000"/>
          <w:szCs w:val="24"/>
        </w:rPr>
        <w:fldChar w:fldCharType="begin"/>
      </w:r>
      <w:r w:rsidR="00DD091A">
        <w:rPr>
          <w:rFonts w:cs="Arial"/>
          <w:szCs w:val="24"/>
        </w:rPr>
        <w:instrText xml:space="preserve"> REF _Ref488102628 \h </w:instrText>
      </w:r>
      <w:r w:rsidR="00DD091A">
        <w:rPr>
          <w:rFonts w:cs="Arial"/>
          <w:color w:val="FF0000"/>
          <w:szCs w:val="24"/>
        </w:rPr>
      </w:r>
      <w:r w:rsidR="00DD091A">
        <w:rPr>
          <w:rFonts w:cs="Arial"/>
          <w:color w:val="FF0000"/>
          <w:szCs w:val="24"/>
        </w:rPr>
        <w:fldChar w:fldCharType="separate"/>
      </w:r>
      <w:r w:rsidR="00D40ECB" w:rsidRPr="002855BE">
        <w:t xml:space="preserve">Figura </w:t>
      </w:r>
      <w:r w:rsidR="00D40ECB">
        <w:rPr>
          <w:noProof/>
        </w:rPr>
        <w:t>12</w:t>
      </w:r>
      <w:r w:rsidR="00DD091A">
        <w:rPr>
          <w:rFonts w:cs="Arial"/>
          <w:color w:val="FF0000"/>
          <w:szCs w:val="24"/>
        </w:rPr>
        <w:fldChar w:fldCharType="end"/>
      </w:r>
      <w:r>
        <w:rPr>
          <w:rFonts w:cs="Arial"/>
          <w:szCs w:val="24"/>
        </w:rPr>
        <w:t>, o fator de potência é expresso como o cosseno do ângulo entre</w:t>
      </w:r>
      <w:r w:rsidR="005C1F1F">
        <w:rPr>
          <w:rFonts w:cs="Arial"/>
          <w:szCs w:val="24"/>
        </w:rPr>
        <w:t xml:space="preserve"> a potência ativa e a aparente.</w:t>
      </w:r>
    </w:p>
    <w:p w:rsidR="002B49E7" w:rsidRPr="002855BE" w:rsidRDefault="002B49E7" w:rsidP="002434CC">
      <w:pPr>
        <w:pStyle w:val="Figura-PG"/>
      </w:pPr>
      <w:bookmarkStart w:id="87" w:name="_Ref488102628"/>
      <w:bookmarkStart w:id="88" w:name="_Toc488706053"/>
      <w:r w:rsidRPr="002855BE">
        <w:t xml:space="preserve">Figura </w:t>
      </w:r>
      <w:fldSimple w:instr=" SEQ Figura \* ARABIC ">
        <w:r w:rsidR="004C240D">
          <w:rPr>
            <w:noProof/>
          </w:rPr>
          <w:t>12</w:t>
        </w:r>
      </w:fldSimple>
      <w:bookmarkEnd w:id="87"/>
      <w:r w:rsidR="00450291">
        <w:t xml:space="preserve"> - </w:t>
      </w:r>
      <w:r w:rsidRPr="002855BE">
        <w:t>Triângulo de Potências para cálculo do fator de potência ou das potências.</w:t>
      </w:r>
      <w:bookmarkEnd w:id="88"/>
    </w:p>
    <w:p w:rsidR="002B49E7" w:rsidRDefault="002B49E7" w:rsidP="002B49E7">
      <w:pPr>
        <w:autoSpaceDE w:val="0"/>
        <w:autoSpaceDN w:val="0"/>
        <w:adjustRightInd w:val="0"/>
        <w:contextualSpacing w:val="0"/>
        <w:jc w:val="center"/>
        <w:rPr>
          <w:rFonts w:cs="Arial"/>
          <w:szCs w:val="24"/>
        </w:rPr>
      </w:pPr>
      <w:r>
        <w:rPr>
          <w:noProof/>
          <w:lang w:eastAsia="pt-BR"/>
        </w:rPr>
        <w:drawing>
          <wp:inline distT="0" distB="0" distL="0" distR="0" wp14:anchorId="54A685CE" wp14:editId="13681358">
            <wp:extent cx="4076700" cy="1781175"/>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76700" cy="1781175"/>
                    </a:xfrm>
                    <a:prstGeom prst="rect">
                      <a:avLst/>
                    </a:prstGeom>
                  </pic:spPr>
                </pic:pic>
              </a:graphicData>
            </a:graphic>
          </wp:inline>
        </w:drawing>
      </w:r>
    </w:p>
    <w:p w:rsidR="002B49E7" w:rsidRDefault="002B49E7" w:rsidP="002B49E7">
      <w:pPr>
        <w:autoSpaceDE w:val="0"/>
        <w:autoSpaceDN w:val="0"/>
        <w:adjustRightInd w:val="0"/>
        <w:contextualSpacing w:val="0"/>
        <w:jc w:val="center"/>
        <w:rPr>
          <w:rFonts w:cs="Arial"/>
          <w:szCs w:val="24"/>
        </w:rPr>
      </w:pPr>
      <w:r>
        <w:rPr>
          <w:rFonts w:cs="Arial"/>
          <w:szCs w:val="24"/>
        </w:rPr>
        <w:t xml:space="preserve">Fonte: </w:t>
      </w:r>
      <w:r w:rsidR="002434CC">
        <w:rPr>
          <w:rFonts w:cs="Arial"/>
          <w:szCs w:val="24"/>
        </w:rPr>
        <w:t>(DONATO, 2016)</w:t>
      </w:r>
    </w:p>
    <w:p w:rsidR="00D40ECB" w:rsidRDefault="00D40ECB" w:rsidP="002B49E7">
      <w:pPr>
        <w:autoSpaceDE w:val="0"/>
        <w:autoSpaceDN w:val="0"/>
        <w:adjustRightInd w:val="0"/>
        <w:contextualSpacing w:val="0"/>
      </w:pPr>
    </w:p>
    <w:p w:rsidR="002B49E7" w:rsidRDefault="002B49E7" w:rsidP="002B49E7">
      <w:pPr>
        <w:autoSpaceDE w:val="0"/>
        <w:autoSpaceDN w:val="0"/>
        <w:adjustRightInd w:val="0"/>
        <w:contextualSpacing w:val="0"/>
      </w:pPr>
      <w:r>
        <w:t>O limite é indicado d</w:t>
      </w:r>
      <w:r w:rsidR="00DD091A">
        <w:t>e forma indireta, através do fator de potência</w:t>
      </w:r>
      <w:r>
        <w:t>, que reflete a relação entre as energias ativa e reativa consumidas. De acordo com a Resolução ANEEL 456 de 29/11/2000, as instalações elétricas dos consumidores devem ter um fator de potência não inferior a 0,92 (capacitivo ou indutivo).</w:t>
      </w:r>
    </w:p>
    <w:p w:rsidR="002B49E7" w:rsidRDefault="00DD091A" w:rsidP="002B49E7">
      <w:pPr>
        <w:autoSpaceDE w:val="0"/>
        <w:autoSpaceDN w:val="0"/>
        <w:adjustRightInd w:val="0"/>
        <w:contextualSpacing w:val="0"/>
      </w:pPr>
      <w:r>
        <w:lastRenderedPageBreak/>
        <w:t>Quando o fator de potência</w:t>
      </w:r>
      <w:r w:rsidR="002B49E7">
        <w:t xml:space="preserve"> é inferior a 0,92, é cobrada a utilização de energia e demanda de potência reativa na fatura de energia elétrica, como Consumo de Energia Reativa Excedente e Demanda Reativa Excedente.</w:t>
      </w:r>
    </w:p>
    <w:p w:rsidR="005C1F1F" w:rsidRDefault="002B49E7" w:rsidP="002B49E7">
      <w:pPr>
        <w:autoSpaceDE w:val="0"/>
        <w:autoSpaceDN w:val="0"/>
        <w:adjustRightInd w:val="0"/>
        <w:contextualSpacing w:val="0"/>
        <w:rPr>
          <w:rFonts w:cs="Arial"/>
          <w:szCs w:val="24"/>
        </w:rPr>
      </w:pPr>
      <w:r>
        <w:t>A energia reativa capacitiva é medida entre 00</w:t>
      </w:r>
      <w:r w:rsidR="00DD091A">
        <w:t>:00 e 06:00</w:t>
      </w:r>
      <w:r>
        <w:t xml:space="preserve"> e a energia reativa indutiva no restante do dia. Quando não é possível se medir a energia reativa capacitiva, a medição da energia reativa indutiva é feita durante as 24 horas do dia.</w:t>
      </w:r>
    </w:p>
    <w:p w:rsidR="005C1F1F" w:rsidRPr="00AF0D12" w:rsidRDefault="005C1F1F" w:rsidP="002B49E7">
      <w:pPr>
        <w:autoSpaceDE w:val="0"/>
        <w:autoSpaceDN w:val="0"/>
        <w:adjustRightInd w:val="0"/>
        <w:contextualSpacing w:val="0"/>
        <w:rPr>
          <w:rFonts w:cs="Arial"/>
          <w:szCs w:val="24"/>
        </w:rPr>
      </w:pPr>
    </w:p>
    <w:p w:rsidR="002B49E7" w:rsidRDefault="0095518B" w:rsidP="00DD091A">
      <w:pPr>
        <w:pStyle w:val="Nvel3-PG"/>
      </w:pPr>
      <w:bookmarkStart w:id="89" w:name="_Toc488678356"/>
      <w:r>
        <w:t>2.10</w:t>
      </w:r>
      <w:r w:rsidR="002B49E7">
        <w:t>.1 Correção do fator de potência</w:t>
      </w:r>
      <w:bookmarkEnd w:id="89"/>
    </w:p>
    <w:p w:rsidR="002B49E7" w:rsidRDefault="002B49E7" w:rsidP="002B49E7">
      <w:pPr>
        <w:autoSpaceDE w:val="0"/>
        <w:autoSpaceDN w:val="0"/>
        <w:adjustRightInd w:val="0"/>
        <w:contextualSpacing w:val="0"/>
      </w:pPr>
      <w:r>
        <w:t>Em geral, a correção do fator de potência é uma das medidas de custo mais baixo para a redução de despesa com energia elétrica.</w:t>
      </w:r>
      <w:r w:rsidR="003F4B46">
        <w:t xml:space="preserve"> [44]</w:t>
      </w:r>
      <w:r>
        <w:t xml:space="preserve"> </w:t>
      </w:r>
    </w:p>
    <w:p w:rsidR="002B49E7" w:rsidRDefault="002B49E7" w:rsidP="002B49E7">
      <w:pPr>
        <w:autoSpaceDE w:val="0"/>
        <w:autoSpaceDN w:val="0"/>
        <w:adjustRightInd w:val="0"/>
        <w:contextualSpacing w:val="0"/>
      </w:pPr>
      <w:r>
        <w:t xml:space="preserve">Se o pagamento de parcelas de Consumo de Energia Reativa Excedente e/ou Demanda Reativa Excedente ocorrer com frequência, um levantamento da instalação pode ser feito, com a finalidade de localizar pontos onde ocorra uma ou mais das situações relacionadas abaixo: </w:t>
      </w:r>
    </w:p>
    <w:p w:rsidR="002B49E7" w:rsidRDefault="002B49E7" w:rsidP="00DD091A">
      <w:pPr>
        <w:pStyle w:val="PargrafodaLista"/>
        <w:numPr>
          <w:ilvl w:val="0"/>
          <w:numId w:val="4"/>
        </w:numPr>
        <w:autoSpaceDE w:val="0"/>
        <w:autoSpaceDN w:val="0"/>
        <w:adjustRightInd w:val="0"/>
        <w:ind w:left="284" w:hanging="284"/>
        <w:contextualSpacing w:val="0"/>
      </w:pPr>
      <w:r>
        <w:t xml:space="preserve">Motores trabalhando em vazio durante grande parte de tempo; </w:t>
      </w:r>
    </w:p>
    <w:p w:rsidR="002B49E7" w:rsidRDefault="002B49E7" w:rsidP="00DD091A">
      <w:pPr>
        <w:pStyle w:val="PargrafodaLista"/>
        <w:numPr>
          <w:ilvl w:val="0"/>
          <w:numId w:val="4"/>
        </w:numPr>
        <w:autoSpaceDE w:val="0"/>
        <w:autoSpaceDN w:val="0"/>
        <w:adjustRightInd w:val="0"/>
        <w:ind w:left="284" w:hanging="284"/>
        <w:contextualSpacing w:val="0"/>
      </w:pPr>
      <w:r>
        <w:t xml:space="preserve">Motores superdimensionados para as respectivas cargas; </w:t>
      </w:r>
    </w:p>
    <w:p w:rsidR="002B49E7" w:rsidRDefault="002B49E7" w:rsidP="00DD091A">
      <w:pPr>
        <w:pStyle w:val="PargrafodaLista"/>
        <w:numPr>
          <w:ilvl w:val="0"/>
          <w:numId w:val="4"/>
        </w:numPr>
        <w:autoSpaceDE w:val="0"/>
        <w:autoSpaceDN w:val="0"/>
        <w:adjustRightInd w:val="0"/>
        <w:ind w:left="284" w:hanging="284"/>
        <w:contextualSpacing w:val="0"/>
      </w:pPr>
      <w:r>
        <w:t xml:space="preserve">Grandes transformadores alimentando pequenas cargas por muito tempo; </w:t>
      </w:r>
    </w:p>
    <w:p w:rsidR="002B49E7" w:rsidRDefault="002B49E7" w:rsidP="00DD091A">
      <w:pPr>
        <w:pStyle w:val="PargrafodaLista"/>
        <w:numPr>
          <w:ilvl w:val="0"/>
          <w:numId w:val="4"/>
        </w:numPr>
        <w:autoSpaceDE w:val="0"/>
        <w:autoSpaceDN w:val="0"/>
        <w:adjustRightInd w:val="0"/>
        <w:ind w:left="284" w:hanging="284"/>
        <w:contextualSpacing w:val="0"/>
      </w:pPr>
      <w:r>
        <w:t xml:space="preserve">Grande quantidade de motores de pequena potência. </w:t>
      </w:r>
    </w:p>
    <w:p w:rsidR="00F822E4" w:rsidRDefault="00DD091A" w:rsidP="002B49E7">
      <w:pPr>
        <w:pStyle w:val="PargrafodaLista"/>
        <w:numPr>
          <w:ilvl w:val="0"/>
          <w:numId w:val="4"/>
        </w:numPr>
        <w:autoSpaceDE w:val="0"/>
        <w:autoSpaceDN w:val="0"/>
        <w:adjustRightInd w:val="0"/>
        <w:ind w:left="284" w:hanging="284"/>
        <w:contextualSpacing w:val="0"/>
      </w:pPr>
      <w:r>
        <w:t>Lâmpadas de descarga (de vapor de mercúrio, fluorescente, etc.) sem correção i</w:t>
      </w:r>
      <w:r w:rsidR="00F822E4">
        <w:t>ndividual do fator de potência.</w:t>
      </w:r>
    </w:p>
    <w:p w:rsidR="002B49E7" w:rsidRDefault="002B49E7" w:rsidP="002B49E7">
      <w:pPr>
        <w:autoSpaceDE w:val="0"/>
        <w:autoSpaceDN w:val="0"/>
        <w:adjustRightInd w:val="0"/>
        <w:contextualSpacing w:val="0"/>
      </w:pPr>
      <w:r>
        <w:t xml:space="preserve">As providências básicas, para a correção do fator de potência, podem ser as seguintes: </w:t>
      </w:r>
    </w:p>
    <w:p w:rsidR="002B49E7" w:rsidRDefault="002B49E7" w:rsidP="00DD091A">
      <w:pPr>
        <w:pStyle w:val="PargrafodaLista"/>
        <w:numPr>
          <w:ilvl w:val="0"/>
          <w:numId w:val="5"/>
        </w:numPr>
        <w:autoSpaceDE w:val="0"/>
        <w:autoSpaceDN w:val="0"/>
        <w:adjustRightInd w:val="0"/>
        <w:ind w:left="284" w:hanging="284"/>
        <w:contextualSpacing w:val="0"/>
      </w:pPr>
      <w:r>
        <w:t xml:space="preserve">Dimensionar corretamente motores e equipamentos; </w:t>
      </w:r>
    </w:p>
    <w:p w:rsidR="002B49E7" w:rsidRDefault="002B49E7" w:rsidP="00DD091A">
      <w:pPr>
        <w:pStyle w:val="PargrafodaLista"/>
        <w:numPr>
          <w:ilvl w:val="0"/>
          <w:numId w:val="5"/>
        </w:numPr>
        <w:autoSpaceDE w:val="0"/>
        <w:autoSpaceDN w:val="0"/>
        <w:adjustRightInd w:val="0"/>
        <w:ind w:left="284" w:hanging="284"/>
        <w:contextualSpacing w:val="0"/>
      </w:pPr>
      <w:r>
        <w:t xml:space="preserve">Utilizar e operar convenientemente os equipamentos; </w:t>
      </w:r>
    </w:p>
    <w:p w:rsidR="002B49E7" w:rsidRDefault="002B49E7" w:rsidP="00DD091A">
      <w:pPr>
        <w:pStyle w:val="PargrafodaLista"/>
        <w:numPr>
          <w:ilvl w:val="0"/>
          <w:numId w:val="5"/>
        </w:numPr>
        <w:autoSpaceDE w:val="0"/>
        <w:autoSpaceDN w:val="0"/>
        <w:adjustRightInd w:val="0"/>
        <w:ind w:left="284" w:hanging="284"/>
        <w:contextualSpacing w:val="0"/>
      </w:pPr>
      <w:r>
        <w:t>Instalar bancos de capacitores onde for necessário. Esta instalação pode ser na entrada da edificação ou em algum equipamento específico. Os bancos de capacitores também podem ser do tipo potência fixa ou automático (potência variável).</w:t>
      </w:r>
    </w:p>
    <w:p w:rsidR="00691E57" w:rsidRDefault="002D3358" w:rsidP="002D3358">
      <w:pPr>
        <w:tabs>
          <w:tab w:val="left" w:pos="2625"/>
        </w:tabs>
        <w:autoSpaceDE w:val="0"/>
        <w:autoSpaceDN w:val="0"/>
        <w:adjustRightInd w:val="0"/>
        <w:contextualSpacing w:val="0"/>
        <w:rPr>
          <w:rFonts w:cs="Arial"/>
          <w:color w:val="FF0000"/>
          <w:szCs w:val="24"/>
        </w:rPr>
      </w:pPr>
      <w:r>
        <w:rPr>
          <w:rFonts w:cs="Arial"/>
          <w:color w:val="FF0000"/>
          <w:szCs w:val="24"/>
        </w:rPr>
        <w:tab/>
      </w:r>
    </w:p>
    <w:p w:rsidR="00326E8E" w:rsidRDefault="00326E8E" w:rsidP="00326E8E">
      <w:pPr>
        <w:pStyle w:val="Nvel2-PG"/>
      </w:pPr>
      <w:bookmarkStart w:id="90" w:name="_Toc488678357"/>
      <w:r>
        <w:lastRenderedPageBreak/>
        <w:t>2.11 Ferramentas de análise de investimento</w:t>
      </w:r>
      <w:bookmarkEnd w:id="90"/>
    </w:p>
    <w:p w:rsidR="00326E8E" w:rsidRPr="002434CC" w:rsidRDefault="00326E8E" w:rsidP="00326E8E">
      <w:r w:rsidRPr="00326E8E">
        <w:t>A análise de investimentos envolve decisões de aplicação de recursos com prazos longos (maiores que um ano), com o objetivo de propiciar retorno adequado aos proprietários desse capital.</w:t>
      </w:r>
      <w:r w:rsidR="002434CC">
        <w:t xml:space="preserve"> </w:t>
      </w:r>
      <w:r>
        <w:t>As ferramentas tem o intuito de se estudar os cenários econômicos e políticos a longo prazo a fim de responder as seguintes perguntas para a implantação de um projeto: O</w:t>
      </w:r>
      <w:r w:rsidRPr="00326E8E">
        <w:rPr>
          <w:i/>
        </w:rPr>
        <w:t xml:space="preserve"> projeto vai se pagar? O projeto vai aumentar a riqueza dos acionistas? O projeto é a melhor alternativa de investimento?</w:t>
      </w:r>
    </w:p>
    <w:p w:rsidR="00022C7E" w:rsidRPr="00022C7E" w:rsidRDefault="00022C7E" w:rsidP="00326E8E">
      <w:r>
        <w:t>As</w:t>
      </w:r>
      <w:r w:rsidRPr="00836701">
        <w:t xml:space="preserve"> ferramentas </w:t>
      </w:r>
      <w:r>
        <w:t xml:space="preserve">mais usuais de análise de investimento são o </w:t>
      </w:r>
      <w:r w:rsidRPr="00836701">
        <w:rPr>
          <w:i/>
        </w:rPr>
        <w:t>payback</w:t>
      </w:r>
      <w:r>
        <w:t>, o</w:t>
      </w:r>
      <w:r w:rsidRPr="00836701">
        <w:t xml:space="preserve"> valor presente líquido </w:t>
      </w:r>
      <w:r>
        <w:t>–</w:t>
      </w:r>
      <w:r w:rsidRPr="00836701">
        <w:t xml:space="preserve"> VPL</w:t>
      </w:r>
      <w:r>
        <w:t xml:space="preserve"> e a taxa interna de retorno</w:t>
      </w:r>
      <w:r w:rsidRPr="00836701">
        <w:t xml:space="preserve"> </w:t>
      </w:r>
      <w:r>
        <w:t>–</w:t>
      </w:r>
      <w:r w:rsidRPr="00836701">
        <w:t xml:space="preserve"> </w:t>
      </w:r>
      <w:r>
        <w:t>TIR</w:t>
      </w:r>
      <w:r w:rsidRPr="00836701">
        <w:t>.</w:t>
      </w:r>
    </w:p>
    <w:p w:rsidR="00326E8E" w:rsidRDefault="00326E8E" w:rsidP="00326E8E">
      <w:r>
        <w:t xml:space="preserve">O </w:t>
      </w:r>
      <w:r w:rsidRPr="00ED6B04">
        <w:rPr>
          <w:i/>
        </w:rPr>
        <w:t>payback</w:t>
      </w:r>
      <w:r>
        <w:t xml:space="preserve"> representa o tempo necessário para que o fluxo de caixa acumulado se torne positivo. Este método leva em consideração que o fluxo de caixa do projeto contém apenas as despesas de investimento no primeiro período e as receitas começam a ser contabilizadas nos períodos seguintes.</w:t>
      </w:r>
    </w:p>
    <w:p w:rsidR="00326E8E" w:rsidRPr="00E27F87" w:rsidRDefault="00326E8E" w:rsidP="00326E8E">
      <w:r>
        <w:t>O VPL é u</w:t>
      </w:r>
      <w:r w:rsidRPr="00836701">
        <w:t>ma das técnicas de análise mais empregadas para a av</w:t>
      </w:r>
      <w:r>
        <w:t>aliação financeira de um projeto. Consiste na diferença entre a receita gerada p</w:t>
      </w:r>
      <w:r w:rsidRPr="003F4B46">
        <w:t>or um projeto e os seus custos. Para o cálculo do VPL, os fluxos de caixa do projeto são trazidos a valor presente, descontados a uma determinada taxa de juros. [</w:t>
      </w:r>
      <w:r w:rsidR="003F4B46" w:rsidRPr="003F4B46">
        <w:t>45</w:t>
      </w:r>
      <w:r w:rsidRPr="003F4B46">
        <w:t>]</w:t>
      </w:r>
    </w:p>
    <w:p w:rsidR="00326E8E" w:rsidRPr="00E27F87" w:rsidRDefault="00326E8E" w:rsidP="00326E8E">
      <w:r w:rsidRPr="00E27F87">
        <w:t xml:space="preserve">A </w:t>
      </w:r>
      <w:r w:rsidR="001144AF">
        <w:fldChar w:fldCharType="begin"/>
      </w:r>
      <w:r w:rsidR="001144AF">
        <w:instrText xml:space="preserve"> REF _Ref488272295 \h </w:instrText>
      </w:r>
      <w:r w:rsidR="001144AF">
        <w:fldChar w:fldCharType="separate"/>
      </w:r>
      <w:r w:rsidR="001144AF">
        <w:t xml:space="preserve">Equação </w:t>
      </w:r>
      <w:r w:rsidR="001144AF">
        <w:rPr>
          <w:noProof/>
        </w:rPr>
        <w:t>27</w:t>
      </w:r>
      <w:r w:rsidR="001144AF">
        <w:fldChar w:fldCharType="end"/>
      </w:r>
      <w:r>
        <w:t xml:space="preserve"> apresenta a expressão para o cálculo do VPL, onde </w:t>
      </w:r>
      <m:oMath>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eastAsiaTheme="minorEastAsia"/>
        </w:rPr>
        <w:t xml:space="preserve"> é o investimento inicial, </w:t>
      </w:r>
      <m:oMath>
        <m:r>
          <w:rPr>
            <w:rFonts w:ascii="Cambria Math" w:eastAsiaTheme="minorEastAsia" w:hAnsi="Cambria Math"/>
          </w:rPr>
          <m:t>F</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t</m:t>
            </m:r>
          </m:sub>
        </m:sSub>
      </m:oMath>
      <w:r>
        <w:rPr>
          <w:rFonts w:eastAsiaTheme="minorEastAsia"/>
        </w:rPr>
        <w:t xml:space="preserve"> o fluxo de caixa do projeto no período </w:t>
      </w:r>
      <m:oMath>
        <m:r>
          <w:rPr>
            <w:rFonts w:ascii="Cambria Math" w:eastAsiaTheme="minorEastAsia" w:hAnsi="Cambria Math"/>
          </w:rPr>
          <m:t>t</m:t>
        </m:r>
      </m:oMath>
      <w:r>
        <w:rPr>
          <w:rFonts w:eastAsiaTheme="minorEastAsia"/>
        </w:rPr>
        <w:t xml:space="preserve"> e </w:t>
      </w:r>
      <m:oMath>
        <m:r>
          <w:rPr>
            <w:rFonts w:ascii="Cambria Math" w:eastAsiaTheme="minorEastAsia" w:hAnsi="Cambria Math"/>
          </w:rPr>
          <m:t>r</m:t>
        </m:r>
      </m:oMath>
      <w:r>
        <w:rPr>
          <w:rFonts w:eastAsiaTheme="minorEastAsia"/>
        </w:rPr>
        <w:t xml:space="preserve"> é a taxa de desconto.</w:t>
      </w:r>
    </w:p>
    <w:tbl>
      <w:tblPr>
        <w:tblStyle w:val="Tabelacomgrade"/>
        <w:tblW w:w="0" w:type="auto"/>
        <w:tblCellMar>
          <w:left w:w="0" w:type="dxa"/>
          <w:right w:w="0" w:type="dxa"/>
        </w:tblCellMar>
        <w:tblLook w:val="04A0" w:firstRow="1" w:lastRow="0" w:firstColumn="1" w:lastColumn="0" w:noHBand="0" w:noVBand="1"/>
      </w:tblPr>
      <w:tblGrid>
        <w:gridCol w:w="8395"/>
        <w:gridCol w:w="676"/>
      </w:tblGrid>
      <w:tr w:rsidR="00326E8E" w:rsidTr="00326E8E">
        <w:tc>
          <w:tcPr>
            <w:tcW w:w="8395" w:type="dxa"/>
            <w:tcBorders>
              <w:top w:val="nil"/>
              <w:left w:val="nil"/>
              <w:bottom w:val="nil"/>
              <w:right w:val="nil"/>
            </w:tcBorders>
            <w:vAlign w:val="center"/>
          </w:tcPr>
          <w:p w:rsidR="00326E8E" w:rsidRDefault="00326E8E" w:rsidP="00326E8E">
            <w:pPr>
              <w:autoSpaceDE w:val="0"/>
              <w:autoSpaceDN w:val="0"/>
              <w:adjustRightInd w:val="0"/>
              <w:spacing w:after="0" w:line="240" w:lineRule="auto"/>
              <w:contextualSpacing w:val="0"/>
              <w:rPr>
                <w:rFonts w:cs="Arial"/>
                <w:szCs w:val="24"/>
              </w:rPr>
            </w:pPr>
            <m:oMathPara>
              <m:oMath>
                <m:r>
                  <w:rPr>
                    <w:rFonts w:ascii="Cambria Math" w:hAnsi="Cambria Math" w:cs="Arial"/>
                    <w:szCs w:val="24"/>
                  </w:rPr>
                  <m:t>VPL=-</m:t>
                </m:r>
                <m:sSub>
                  <m:sSubPr>
                    <m:ctrlPr>
                      <w:rPr>
                        <w:rFonts w:ascii="Cambria Math" w:hAnsi="Cambria Math" w:cs="Arial"/>
                        <w:i/>
                        <w:szCs w:val="24"/>
                      </w:rPr>
                    </m:ctrlPr>
                  </m:sSubPr>
                  <m:e>
                    <m:r>
                      <w:rPr>
                        <w:rFonts w:ascii="Cambria Math" w:hAnsi="Cambria Math" w:cs="Arial"/>
                        <w:szCs w:val="24"/>
                      </w:rPr>
                      <m:t>I</m:t>
                    </m:r>
                  </m:e>
                  <m:sub>
                    <m:r>
                      <w:rPr>
                        <w:rFonts w:ascii="Cambria Math" w:hAnsi="Cambria Math" w:cs="Arial"/>
                        <w:szCs w:val="24"/>
                      </w:rPr>
                      <m:t>0</m:t>
                    </m:r>
                  </m:sub>
                </m:sSub>
                <m:r>
                  <w:rPr>
                    <w:rFonts w:ascii="Cambria Math" w:hAnsi="Cambria Math" w:cs="Arial"/>
                    <w:szCs w:val="24"/>
                  </w:rPr>
                  <m:t>+</m:t>
                </m:r>
                <m:nary>
                  <m:naryPr>
                    <m:chr m:val="∑"/>
                    <m:limLoc m:val="undOvr"/>
                    <m:ctrlPr>
                      <w:rPr>
                        <w:rFonts w:ascii="Cambria Math" w:hAnsi="Cambria Math" w:cs="Arial"/>
                        <w:i/>
                        <w:szCs w:val="24"/>
                      </w:rPr>
                    </m:ctrlPr>
                  </m:naryPr>
                  <m:sub>
                    <m:r>
                      <w:rPr>
                        <w:rFonts w:ascii="Cambria Math" w:hAnsi="Cambria Math" w:cs="Arial"/>
                        <w:szCs w:val="24"/>
                      </w:rPr>
                      <m:t>t=1</m:t>
                    </m:r>
                  </m:sub>
                  <m:sup>
                    <m:r>
                      <w:rPr>
                        <w:rFonts w:ascii="Cambria Math" w:hAnsi="Cambria Math" w:cs="Arial"/>
                        <w:szCs w:val="24"/>
                      </w:rPr>
                      <m:t>n</m:t>
                    </m:r>
                  </m:sup>
                  <m:e>
                    <m:f>
                      <m:fPr>
                        <m:ctrlPr>
                          <w:rPr>
                            <w:rFonts w:ascii="Cambria Math" w:hAnsi="Cambria Math" w:cs="Arial"/>
                            <w:i/>
                            <w:szCs w:val="24"/>
                          </w:rPr>
                        </m:ctrlPr>
                      </m:fPr>
                      <m:num>
                        <m:r>
                          <w:rPr>
                            <w:rFonts w:ascii="Cambria Math" w:hAnsi="Cambria Math" w:cs="Arial"/>
                            <w:szCs w:val="24"/>
                          </w:rPr>
                          <m:t>F</m:t>
                        </m:r>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t</m:t>
                            </m:r>
                          </m:sub>
                        </m:sSub>
                      </m:num>
                      <m:den>
                        <m:sSup>
                          <m:sSupPr>
                            <m:ctrlPr>
                              <w:rPr>
                                <w:rFonts w:ascii="Cambria Math" w:hAnsi="Cambria Math" w:cs="Arial"/>
                                <w:i/>
                                <w:szCs w:val="24"/>
                              </w:rPr>
                            </m:ctrlPr>
                          </m:sSupPr>
                          <m:e>
                            <m:d>
                              <m:dPr>
                                <m:ctrlPr>
                                  <w:rPr>
                                    <w:rFonts w:ascii="Cambria Math" w:hAnsi="Cambria Math" w:cs="Arial"/>
                                    <w:i/>
                                    <w:szCs w:val="24"/>
                                  </w:rPr>
                                </m:ctrlPr>
                              </m:dPr>
                              <m:e>
                                <m:r>
                                  <w:rPr>
                                    <w:rFonts w:ascii="Cambria Math" w:hAnsi="Cambria Math" w:cs="Arial"/>
                                    <w:szCs w:val="24"/>
                                  </w:rPr>
                                  <m:t>1+r</m:t>
                                </m:r>
                              </m:e>
                            </m:d>
                          </m:e>
                          <m:sup>
                            <m:r>
                              <w:rPr>
                                <w:rFonts w:ascii="Cambria Math" w:hAnsi="Cambria Math" w:cs="Arial"/>
                                <w:szCs w:val="24"/>
                              </w:rPr>
                              <m:t>t</m:t>
                            </m:r>
                          </m:sup>
                        </m:sSup>
                      </m:den>
                    </m:f>
                  </m:e>
                </m:nary>
              </m:oMath>
            </m:oMathPara>
          </w:p>
        </w:tc>
        <w:tc>
          <w:tcPr>
            <w:tcW w:w="676" w:type="dxa"/>
            <w:tcBorders>
              <w:top w:val="nil"/>
              <w:left w:val="nil"/>
              <w:bottom w:val="nil"/>
              <w:right w:val="nil"/>
            </w:tcBorders>
            <w:vAlign w:val="center"/>
          </w:tcPr>
          <w:p w:rsidR="00326E8E" w:rsidRDefault="00326E8E" w:rsidP="001144AF">
            <w:pPr>
              <w:keepNext/>
              <w:autoSpaceDE w:val="0"/>
              <w:autoSpaceDN w:val="0"/>
              <w:adjustRightInd w:val="0"/>
              <w:spacing w:after="0" w:line="240" w:lineRule="auto"/>
              <w:contextualSpacing w:val="0"/>
              <w:jc w:val="center"/>
              <w:rPr>
                <w:rFonts w:cs="Arial"/>
                <w:szCs w:val="24"/>
              </w:rPr>
            </w:pPr>
            <w:r>
              <w:rPr>
                <w:rFonts w:cs="Arial"/>
                <w:szCs w:val="24"/>
              </w:rPr>
              <w:t>(</w:t>
            </w:r>
            <w:r w:rsidR="001144AF">
              <w:rPr>
                <w:rFonts w:cs="Arial"/>
                <w:szCs w:val="24"/>
              </w:rPr>
              <w:t>27</w:t>
            </w:r>
            <w:r>
              <w:rPr>
                <w:rFonts w:cs="Arial"/>
                <w:szCs w:val="24"/>
              </w:rPr>
              <w:t>)</w:t>
            </w:r>
          </w:p>
        </w:tc>
      </w:tr>
    </w:tbl>
    <w:p w:rsidR="001144AF" w:rsidRPr="001144AF" w:rsidRDefault="001144AF">
      <w:pPr>
        <w:pStyle w:val="Legenda"/>
        <w:rPr>
          <w:color w:val="FFFFFF" w:themeColor="background1"/>
        </w:rPr>
      </w:pPr>
      <w:bookmarkStart w:id="91" w:name="_Ref488272295"/>
      <w:r w:rsidRPr="001144AF">
        <w:rPr>
          <w:color w:val="FFFFFF" w:themeColor="background1"/>
        </w:rPr>
        <w:t xml:space="preserve">Equação </w:t>
      </w:r>
      <w:r w:rsidRPr="001144AF">
        <w:rPr>
          <w:color w:val="FFFFFF" w:themeColor="background1"/>
        </w:rPr>
        <w:fldChar w:fldCharType="begin"/>
      </w:r>
      <w:r w:rsidRPr="001144AF">
        <w:rPr>
          <w:color w:val="FFFFFF" w:themeColor="background1"/>
        </w:rPr>
        <w:instrText xml:space="preserve"> SEQ Equação \* ARABIC </w:instrText>
      </w:r>
      <w:r w:rsidRPr="001144AF">
        <w:rPr>
          <w:color w:val="FFFFFF" w:themeColor="background1"/>
        </w:rPr>
        <w:fldChar w:fldCharType="separate"/>
      </w:r>
      <w:r w:rsidRPr="001144AF">
        <w:rPr>
          <w:noProof/>
          <w:color w:val="FFFFFF" w:themeColor="background1"/>
        </w:rPr>
        <w:t>27</w:t>
      </w:r>
      <w:r w:rsidRPr="001144AF">
        <w:rPr>
          <w:color w:val="FFFFFF" w:themeColor="background1"/>
        </w:rPr>
        <w:fldChar w:fldCharType="end"/>
      </w:r>
      <w:bookmarkEnd w:id="91"/>
    </w:p>
    <w:p w:rsidR="00326E8E" w:rsidRDefault="00326E8E" w:rsidP="00326E8E">
      <w:r>
        <w:t xml:space="preserve">Um projeto é considerado viável se </w:t>
      </w:r>
      <m:oMath>
        <m:r>
          <w:rPr>
            <w:rFonts w:ascii="Cambria Math" w:hAnsi="Cambria Math"/>
          </w:rPr>
          <m:t>VPL&gt;0.</m:t>
        </m:r>
      </m:oMath>
      <w:r>
        <w:rPr>
          <w:rFonts w:eastAsiaTheme="minorEastAsia"/>
        </w:rPr>
        <w:t xml:space="preserve"> Isto significa que as receitas superam o valor investido somado e as despesas geradas pelo projeto.</w:t>
      </w:r>
    </w:p>
    <w:p w:rsidR="00326E8E" w:rsidRDefault="00326E8E" w:rsidP="00326E8E">
      <w:r w:rsidRPr="0079718D">
        <w:t>Os</w:t>
      </w:r>
      <w:r>
        <w:t xml:space="preserve"> descontos realizados no fluxo de caixa se dão pela tendência de desvalorização de capital com o tempo (inflação) e pela segurança que um dinheiro aplicado pode oferecer (p.e. poupança) frente ao risco de um novo investimento.</w:t>
      </w:r>
    </w:p>
    <w:p w:rsidR="00326E8E" w:rsidRDefault="00326E8E" w:rsidP="00326E8E">
      <w:r>
        <w:t>A TIR é a taxa juros em que, se empregada como a taxa de desconto no cálculo do VPL, faz com que seu valor fique igual a zero. Desta forma, o lucro líquido pagaria o investimento inicial exatamente na vida útil do projeto.</w:t>
      </w:r>
    </w:p>
    <w:p w:rsidR="00326E8E" w:rsidRDefault="00326E8E" w:rsidP="00636CC2">
      <w:pPr>
        <w:autoSpaceDE w:val="0"/>
        <w:autoSpaceDN w:val="0"/>
        <w:adjustRightInd w:val="0"/>
        <w:contextualSpacing w:val="0"/>
        <w:rPr>
          <w:rFonts w:cs="Arial"/>
          <w:color w:val="FF0000"/>
          <w:szCs w:val="24"/>
        </w:rPr>
      </w:pPr>
    </w:p>
    <w:p w:rsidR="00D40ECB" w:rsidRDefault="00D40ECB" w:rsidP="00636CC2">
      <w:pPr>
        <w:autoSpaceDE w:val="0"/>
        <w:autoSpaceDN w:val="0"/>
        <w:adjustRightInd w:val="0"/>
        <w:contextualSpacing w:val="0"/>
        <w:rPr>
          <w:rFonts w:cs="Arial"/>
          <w:color w:val="FF0000"/>
          <w:szCs w:val="24"/>
        </w:rPr>
      </w:pPr>
    </w:p>
    <w:p w:rsidR="00D40ECB" w:rsidRDefault="00D40ECB" w:rsidP="00636CC2">
      <w:pPr>
        <w:autoSpaceDE w:val="0"/>
        <w:autoSpaceDN w:val="0"/>
        <w:adjustRightInd w:val="0"/>
        <w:contextualSpacing w:val="0"/>
        <w:rPr>
          <w:rFonts w:cs="Arial"/>
          <w:color w:val="FF0000"/>
          <w:szCs w:val="24"/>
        </w:rPr>
      </w:pPr>
    </w:p>
    <w:p w:rsidR="008079F0" w:rsidRDefault="00867976" w:rsidP="00686EBE">
      <w:pPr>
        <w:pStyle w:val="Nvel1-PG"/>
        <w:numPr>
          <w:ilvl w:val="0"/>
          <w:numId w:val="7"/>
        </w:numPr>
        <w:tabs>
          <w:tab w:val="left" w:pos="284"/>
        </w:tabs>
        <w:ind w:left="0" w:firstLine="0"/>
      </w:pPr>
      <w:bookmarkStart w:id="92" w:name="_Toc488678358"/>
      <w:r>
        <w:lastRenderedPageBreak/>
        <w:t>METODOLOGIA</w:t>
      </w:r>
      <w:bookmarkEnd w:id="92"/>
    </w:p>
    <w:p w:rsidR="009A35A0" w:rsidRDefault="009A35A0" w:rsidP="00C75E31">
      <w:r>
        <w:t xml:space="preserve">A metodologia de condução dos experimentos que visam analisar os efeitos do fenômeno de redução de arraste por meio de aditivos, em geral, é facilmente encontrada na literatura, porém poucos autores fazem o uso de plantas com bombeamento e por um longo período de tempo. A seguir, são </w:t>
      </w:r>
      <w:r w:rsidR="00616CED">
        <w:t>descritos os itens que compõe a montagem experimental para a determinação dos resultados para análise.</w:t>
      </w:r>
    </w:p>
    <w:p w:rsidR="00616CED" w:rsidRPr="009A35A0" w:rsidRDefault="00616CED" w:rsidP="00C75E31"/>
    <w:p w:rsidR="00093035" w:rsidRDefault="00D34CD7" w:rsidP="007200F4">
      <w:pPr>
        <w:pStyle w:val="Nvel2-PG"/>
      </w:pPr>
      <w:bookmarkStart w:id="93" w:name="_Toc488678359"/>
      <w:r w:rsidRPr="00613E4B">
        <w:t xml:space="preserve">3.1 </w:t>
      </w:r>
      <w:r w:rsidR="00F80B3E">
        <w:t>Montagem</w:t>
      </w:r>
      <w:r w:rsidRPr="00613E4B">
        <w:t xml:space="preserve"> Experimental</w:t>
      </w:r>
      <w:bookmarkEnd w:id="93"/>
    </w:p>
    <w:p w:rsidR="00867976" w:rsidRDefault="00DF3ED0" w:rsidP="00D40ECB">
      <w:pPr>
        <w:autoSpaceDE w:val="0"/>
        <w:autoSpaceDN w:val="0"/>
        <w:adjustRightInd w:val="0"/>
        <w:contextualSpacing w:val="0"/>
        <w:rPr>
          <w:rFonts w:cs="Arial"/>
          <w:szCs w:val="24"/>
        </w:rPr>
      </w:pPr>
      <w:r>
        <w:rPr>
          <w:rFonts w:cs="Arial"/>
          <w:szCs w:val="24"/>
        </w:rPr>
        <w:t>Para a</w:t>
      </w:r>
      <w:r w:rsidR="00093035">
        <w:rPr>
          <w:rFonts w:cs="Arial"/>
          <w:szCs w:val="24"/>
        </w:rPr>
        <w:t xml:space="preserve"> condução dos experimentos de redução de arraste </w:t>
      </w:r>
      <w:r w:rsidR="0096395E">
        <w:rPr>
          <w:rFonts w:cs="Arial"/>
          <w:szCs w:val="24"/>
        </w:rPr>
        <w:t xml:space="preserve">por meio de </w:t>
      </w:r>
      <w:r w:rsidR="00634F43">
        <w:rPr>
          <w:rFonts w:cs="Arial"/>
          <w:szCs w:val="24"/>
        </w:rPr>
        <w:t>aditivos, a planta disponível</w:t>
      </w:r>
      <w:r w:rsidR="00093035">
        <w:rPr>
          <w:rFonts w:cs="Arial"/>
          <w:szCs w:val="24"/>
        </w:rPr>
        <w:t xml:space="preserve"> no Laboratório de Métodos Experimentais em Fenômenos de Transporte - LAMEFT da Universidade Federal do Espírito Santo - UFES</w:t>
      </w:r>
      <w:r w:rsidR="00634F43" w:rsidRPr="00634F43">
        <w:rPr>
          <w:rFonts w:cs="Arial"/>
          <w:szCs w:val="24"/>
        </w:rPr>
        <w:t xml:space="preserve"> </w:t>
      </w:r>
      <w:r w:rsidR="00634F43">
        <w:rPr>
          <w:rFonts w:cs="Arial"/>
          <w:szCs w:val="24"/>
        </w:rPr>
        <w:t>foi adaptada para ser utilizada</w:t>
      </w:r>
      <w:r w:rsidR="00093035">
        <w:rPr>
          <w:rFonts w:cs="Arial"/>
          <w:szCs w:val="24"/>
        </w:rPr>
        <w:t>.</w:t>
      </w:r>
      <w:r w:rsidR="00634F43">
        <w:rPr>
          <w:rFonts w:cs="Arial"/>
          <w:szCs w:val="24"/>
        </w:rPr>
        <w:t xml:space="preserve"> </w:t>
      </w:r>
      <w:r w:rsidR="00093035">
        <w:rPr>
          <w:rFonts w:cs="Arial"/>
          <w:szCs w:val="24"/>
        </w:rPr>
        <w:t xml:space="preserve"> A </w:t>
      </w:r>
      <w:r w:rsidR="003B3577">
        <w:rPr>
          <w:rFonts w:cs="Arial"/>
          <w:szCs w:val="24"/>
        </w:rPr>
        <w:fldChar w:fldCharType="begin"/>
      </w:r>
      <w:r w:rsidR="003B3577">
        <w:rPr>
          <w:rFonts w:cs="Arial"/>
          <w:szCs w:val="24"/>
        </w:rPr>
        <w:instrText xml:space="preserve"> REF _Ref488102851 \h </w:instrText>
      </w:r>
      <w:r w:rsidR="003B3577">
        <w:rPr>
          <w:rFonts w:cs="Arial"/>
          <w:szCs w:val="24"/>
        </w:rPr>
      </w:r>
      <w:r w:rsidR="003B3577">
        <w:rPr>
          <w:rFonts w:cs="Arial"/>
          <w:szCs w:val="24"/>
        </w:rPr>
        <w:fldChar w:fldCharType="separate"/>
      </w:r>
      <w:r w:rsidR="00D40ECB" w:rsidRPr="002855BE">
        <w:t xml:space="preserve">Figura </w:t>
      </w:r>
      <w:r w:rsidR="00D40ECB">
        <w:rPr>
          <w:noProof/>
        </w:rPr>
        <w:t>13</w:t>
      </w:r>
      <w:r w:rsidR="003B3577">
        <w:rPr>
          <w:rFonts w:cs="Arial"/>
          <w:szCs w:val="24"/>
        </w:rPr>
        <w:fldChar w:fldCharType="end"/>
      </w:r>
      <w:r w:rsidR="00093035">
        <w:rPr>
          <w:rFonts w:cs="Arial"/>
          <w:szCs w:val="24"/>
        </w:rPr>
        <w:t xml:space="preserve"> representa a visualização da planta </w:t>
      </w:r>
      <w:r w:rsidR="00634F43">
        <w:rPr>
          <w:rFonts w:cs="Arial"/>
          <w:szCs w:val="24"/>
        </w:rPr>
        <w:t xml:space="preserve">que o usuário possui enquanto manuseia </w:t>
      </w:r>
      <w:r w:rsidR="00093035">
        <w:rPr>
          <w:rFonts w:cs="Arial"/>
          <w:szCs w:val="24"/>
        </w:rPr>
        <w:t xml:space="preserve">o </w:t>
      </w:r>
      <w:r w:rsidR="00634F43">
        <w:rPr>
          <w:rFonts w:cs="Arial"/>
          <w:szCs w:val="24"/>
        </w:rPr>
        <w:t xml:space="preserve">supervisório criado no </w:t>
      </w:r>
      <w:r w:rsidR="00093035">
        <w:rPr>
          <w:rFonts w:cs="Arial"/>
          <w:szCs w:val="24"/>
        </w:rPr>
        <w:t xml:space="preserve">LabView, </w:t>
      </w:r>
      <w:r w:rsidR="0096395E" w:rsidRPr="0096395E">
        <w:rPr>
          <w:rFonts w:cs="Arial"/>
          <w:i/>
          <w:szCs w:val="24"/>
        </w:rPr>
        <w:t>software</w:t>
      </w:r>
      <w:r w:rsidR="0096395E">
        <w:rPr>
          <w:rFonts w:cs="Arial"/>
          <w:szCs w:val="24"/>
        </w:rPr>
        <w:t xml:space="preserve"> </w:t>
      </w:r>
      <w:r w:rsidR="00093035">
        <w:rPr>
          <w:rFonts w:cs="Arial"/>
          <w:szCs w:val="24"/>
        </w:rPr>
        <w:t>utilizado para a aquisição e controle dos dados dura</w:t>
      </w:r>
      <w:r w:rsidR="00867976">
        <w:rPr>
          <w:rFonts w:cs="Arial"/>
          <w:szCs w:val="24"/>
        </w:rPr>
        <w:t>nte os experimentos</w:t>
      </w:r>
      <w:r w:rsidR="00634F43">
        <w:rPr>
          <w:rFonts w:cs="Arial"/>
          <w:szCs w:val="24"/>
        </w:rPr>
        <w:t>. Algumas modificações na imagem foram realizadas com o intuito</w:t>
      </w:r>
      <w:r w:rsidR="00FF7F9E">
        <w:rPr>
          <w:rFonts w:cs="Arial"/>
          <w:szCs w:val="24"/>
        </w:rPr>
        <w:t xml:space="preserve"> </w:t>
      </w:r>
      <w:r w:rsidR="00634F43">
        <w:rPr>
          <w:rFonts w:cs="Arial"/>
          <w:szCs w:val="24"/>
        </w:rPr>
        <w:t xml:space="preserve">de indicar </w:t>
      </w:r>
      <w:r w:rsidR="00FF7F9E">
        <w:rPr>
          <w:rFonts w:cs="Arial"/>
          <w:szCs w:val="24"/>
        </w:rPr>
        <w:t xml:space="preserve">os itens que </w:t>
      </w:r>
      <w:r w:rsidR="00634F43">
        <w:rPr>
          <w:rFonts w:cs="Arial"/>
          <w:szCs w:val="24"/>
        </w:rPr>
        <w:t>serão descritos a seguir nesta seção.</w:t>
      </w:r>
    </w:p>
    <w:p w:rsidR="00616CED" w:rsidRPr="002855BE" w:rsidRDefault="00616CED" w:rsidP="002434CC">
      <w:pPr>
        <w:pStyle w:val="Figura-PG"/>
      </w:pPr>
      <w:bookmarkStart w:id="94" w:name="_Ref488102851"/>
      <w:bookmarkStart w:id="95" w:name="_Toc488706054"/>
      <w:r w:rsidRPr="002855BE">
        <w:t xml:space="preserve">Figura </w:t>
      </w:r>
      <w:fldSimple w:instr=" SEQ Figura \* ARABIC ">
        <w:r w:rsidR="004C240D">
          <w:rPr>
            <w:noProof/>
          </w:rPr>
          <w:t>13</w:t>
        </w:r>
      </w:fldSimple>
      <w:bookmarkEnd w:id="94"/>
      <w:r w:rsidR="00450291">
        <w:t xml:space="preserve"> - </w:t>
      </w:r>
      <w:r w:rsidRPr="002855BE">
        <w:t>Esquema da planta do LAMEFT para estudo de redução de arraste em tubulações circulares.</w:t>
      </w:r>
      <w:bookmarkEnd w:id="95"/>
    </w:p>
    <w:p w:rsidR="003C6836" w:rsidRDefault="003C6836" w:rsidP="003C6836">
      <w:pPr>
        <w:autoSpaceDE w:val="0"/>
        <w:autoSpaceDN w:val="0"/>
        <w:adjustRightInd w:val="0"/>
        <w:spacing w:after="0"/>
        <w:contextualSpacing w:val="0"/>
        <w:jc w:val="left"/>
        <w:rPr>
          <w:rFonts w:cs="Arial"/>
          <w:szCs w:val="24"/>
        </w:rPr>
      </w:pPr>
      <w:r w:rsidRPr="00845B8D">
        <w:rPr>
          <w:rFonts w:cs="Arial"/>
          <w:noProof/>
          <w:szCs w:val="24"/>
          <w:lang w:eastAsia="pt-BR"/>
        </w:rPr>
        <w:drawing>
          <wp:inline distT="0" distB="0" distL="0" distR="0" wp14:anchorId="1ABAD2D7" wp14:editId="0C373A9B">
            <wp:extent cx="5760085" cy="3304733"/>
            <wp:effectExtent l="0" t="0" r="0" b="0"/>
            <wp:docPr id="2" name="Imagem 2" descr="C:\Users\Jhonnilo\Google Drive\PG UFES\Drag Reduction\PG - Versões\Figura 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onnilo\Google Drive\PG UFES\Drag Reduction\PG - Versões\Figura X.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3304733"/>
                    </a:xfrm>
                    <a:prstGeom prst="rect">
                      <a:avLst/>
                    </a:prstGeom>
                    <a:noFill/>
                    <a:ln>
                      <a:noFill/>
                    </a:ln>
                  </pic:spPr>
                </pic:pic>
              </a:graphicData>
            </a:graphic>
          </wp:inline>
        </w:drawing>
      </w:r>
    </w:p>
    <w:p w:rsidR="00616CED" w:rsidRDefault="00616CED" w:rsidP="00616CED">
      <w:pPr>
        <w:autoSpaceDE w:val="0"/>
        <w:autoSpaceDN w:val="0"/>
        <w:adjustRightInd w:val="0"/>
        <w:spacing w:after="0"/>
        <w:contextualSpacing w:val="0"/>
        <w:jc w:val="center"/>
      </w:pPr>
      <w:r>
        <w:t>Fonte: Autoria própria.</w:t>
      </w:r>
    </w:p>
    <w:p w:rsidR="00616CED" w:rsidRDefault="00616CED" w:rsidP="003C6836">
      <w:pPr>
        <w:autoSpaceDE w:val="0"/>
        <w:autoSpaceDN w:val="0"/>
        <w:adjustRightInd w:val="0"/>
        <w:spacing w:after="0"/>
        <w:contextualSpacing w:val="0"/>
        <w:jc w:val="left"/>
        <w:rPr>
          <w:rFonts w:cs="Arial"/>
          <w:szCs w:val="24"/>
        </w:rPr>
      </w:pPr>
    </w:p>
    <w:p w:rsidR="003C6836" w:rsidRDefault="00F80B3E" w:rsidP="003C6836">
      <w:pPr>
        <w:autoSpaceDE w:val="0"/>
        <w:autoSpaceDN w:val="0"/>
        <w:adjustRightInd w:val="0"/>
        <w:contextualSpacing w:val="0"/>
        <w:rPr>
          <w:rFonts w:cs="Arial"/>
          <w:szCs w:val="24"/>
        </w:rPr>
      </w:pPr>
      <w:r>
        <w:rPr>
          <w:rFonts w:cs="Arial"/>
          <w:szCs w:val="24"/>
        </w:rPr>
        <w:lastRenderedPageBreak/>
        <w:t>A montagem experimental é composta</w:t>
      </w:r>
      <w:r w:rsidR="00867976">
        <w:rPr>
          <w:rFonts w:cs="Arial"/>
          <w:szCs w:val="24"/>
        </w:rPr>
        <w:t xml:space="preserve"> por </w:t>
      </w:r>
      <w:r w:rsidR="00634F43">
        <w:rPr>
          <w:rFonts w:cs="Arial"/>
          <w:szCs w:val="24"/>
        </w:rPr>
        <w:t xml:space="preserve">(a) </w:t>
      </w:r>
      <w:r>
        <w:rPr>
          <w:rFonts w:cs="Arial"/>
          <w:szCs w:val="24"/>
        </w:rPr>
        <w:t>um reservatório</w:t>
      </w:r>
      <w:r w:rsidR="00867976" w:rsidRPr="00867976">
        <w:rPr>
          <w:rFonts w:cs="Arial"/>
          <w:szCs w:val="24"/>
        </w:rPr>
        <w:t xml:space="preserve"> plásti</w:t>
      </w:r>
      <w:r>
        <w:rPr>
          <w:rFonts w:cs="Arial"/>
          <w:szCs w:val="24"/>
        </w:rPr>
        <w:t>co</w:t>
      </w:r>
      <w:r w:rsidR="00867976" w:rsidRPr="00867976">
        <w:rPr>
          <w:rFonts w:cs="Arial"/>
          <w:szCs w:val="24"/>
        </w:rPr>
        <w:t xml:space="preserve"> com capacidade </w:t>
      </w:r>
      <w:r w:rsidR="00867976">
        <w:rPr>
          <w:rFonts w:cs="Arial"/>
          <w:szCs w:val="24"/>
        </w:rPr>
        <w:t xml:space="preserve">de </w:t>
      </w:r>
      <w:r w:rsidR="00867976" w:rsidRPr="00867976">
        <w:rPr>
          <w:rFonts w:cs="Arial"/>
          <w:szCs w:val="24"/>
        </w:rPr>
        <w:t>200 litros</w:t>
      </w:r>
      <w:r w:rsidR="00867976">
        <w:rPr>
          <w:rFonts w:cs="Arial"/>
          <w:szCs w:val="24"/>
        </w:rPr>
        <w:t xml:space="preserve"> com saída para um mangote hidráulico </w:t>
      </w:r>
      <w:r w:rsidR="002B421B">
        <w:rPr>
          <w:rFonts w:cs="Arial"/>
          <w:szCs w:val="24"/>
        </w:rPr>
        <w:t xml:space="preserve">de </w:t>
      </w:r>
      <w:r w:rsidR="00867976" w:rsidRPr="004808D9">
        <w:rPr>
          <w:rFonts w:cs="Arial"/>
          <w:szCs w:val="24"/>
        </w:rPr>
        <w:t xml:space="preserve">1.½” </w:t>
      </w:r>
      <w:r w:rsidR="00867976">
        <w:rPr>
          <w:rFonts w:cs="Arial"/>
          <w:szCs w:val="24"/>
        </w:rPr>
        <w:t xml:space="preserve">conectado a </w:t>
      </w:r>
      <w:r w:rsidR="002B421B">
        <w:rPr>
          <w:rFonts w:cs="Arial"/>
          <w:szCs w:val="24"/>
        </w:rPr>
        <w:t xml:space="preserve">(b) </w:t>
      </w:r>
      <w:r w:rsidR="00867976">
        <w:rPr>
          <w:rFonts w:cs="Arial"/>
          <w:szCs w:val="24"/>
        </w:rPr>
        <w:t>uma válvula esfera manual seguida de</w:t>
      </w:r>
      <w:r w:rsidR="002B421B">
        <w:rPr>
          <w:rFonts w:cs="Arial"/>
          <w:szCs w:val="24"/>
        </w:rPr>
        <w:t xml:space="preserve"> (c)</w:t>
      </w:r>
      <w:r w:rsidR="00867976">
        <w:rPr>
          <w:rFonts w:cs="Arial"/>
          <w:szCs w:val="24"/>
        </w:rPr>
        <w:t xml:space="preserve"> uma trifurcação </w:t>
      </w:r>
      <w:r w:rsidR="002B421B">
        <w:rPr>
          <w:rFonts w:cs="Arial"/>
          <w:szCs w:val="24"/>
        </w:rPr>
        <w:t>conectada a</w:t>
      </w:r>
      <w:r w:rsidR="00867976">
        <w:rPr>
          <w:rFonts w:cs="Arial"/>
          <w:szCs w:val="24"/>
        </w:rPr>
        <w:t xml:space="preserve"> </w:t>
      </w:r>
      <w:r w:rsidR="002B421B">
        <w:rPr>
          <w:rFonts w:cs="Arial"/>
          <w:szCs w:val="24"/>
        </w:rPr>
        <w:t>mangotes de 1” para a entrada de (d)</w:t>
      </w:r>
      <w:r w:rsidR="00867976">
        <w:rPr>
          <w:rFonts w:cs="Arial"/>
          <w:szCs w:val="24"/>
        </w:rPr>
        <w:t xml:space="preserve"> três bombas </w:t>
      </w:r>
      <w:r w:rsidR="00867976" w:rsidRPr="00EF59F0">
        <w:rPr>
          <w:rFonts w:cs="Arial"/>
          <w:szCs w:val="24"/>
        </w:rPr>
        <w:t>centrífugas KSB modelo HYDROBLOC C 2000 N de</w:t>
      </w:r>
      <w:r w:rsidR="00867976">
        <w:rPr>
          <w:rFonts w:cs="Arial"/>
          <w:szCs w:val="24"/>
        </w:rPr>
        <w:t xml:space="preserve"> 1,5</w:t>
      </w:r>
      <w:r w:rsidR="00867976" w:rsidRPr="004808D9">
        <w:rPr>
          <w:rFonts w:cs="Arial"/>
          <w:szCs w:val="24"/>
        </w:rPr>
        <w:t xml:space="preserve"> CV</w:t>
      </w:r>
      <w:r w:rsidR="00867976">
        <w:rPr>
          <w:rFonts w:cs="Arial"/>
          <w:szCs w:val="24"/>
        </w:rPr>
        <w:t xml:space="preserve">. </w:t>
      </w:r>
      <w:r w:rsidR="002B421B">
        <w:rPr>
          <w:rFonts w:cs="Arial"/>
          <w:szCs w:val="24"/>
        </w:rPr>
        <w:t xml:space="preserve">A saída das bombas é conectada </w:t>
      </w:r>
      <w:r w:rsidR="00867976">
        <w:rPr>
          <w:rFonts w:cs="Arial"/>
          <w:szCs w:val="24"/>
        </w:rPr>
        <w:t>a mangotes hidráulicos de</w:t>
      </w:r>
      <w:r w:rsidR="00867976" w:rsidRPr="004808D9">
        <w:rPr>
          <w:rFonts w:cs="Arial"/>
          <w:szCs w:val="24"/>
        </w:rPr>
        <w:t xml:space="preserve"> ¾”</w:t>
      </w:r>
      <w:r w:rsidR="00867976">
        <w:rPr>
          <w:rFonts w:cs="Arial"/>
          <w:szCs w:val="24"/>
        </w:rPr>
        <w:t xml:space="preserve"> e </w:t>
      </w:r>
      <w:r w:rsidR="002B421B">
        <w:rPr>
          <w:rFonts w:cs="Arial"/>
          <w:szCs w:val="24"/>
        </w:rPr>
        <w:t xml:space="preserve">(e) </w:t>
      </w:r>
      <w:r w:rsidR="00867976">
        <w:rPr>
          <w:rFonts w:cs="Arial"/>
          <w:szCs w:val="24"/>
        </w:rPr>
        <w:t xml:space="preserve">uma trifurcação que direciona o fluido para uma tubulação de aço inox de </w:t>
      </w:r>
      <w:r w:rsidR="00867976" w:rsidRPr="004808D9">
        <w:rPr>
          <w:rFonts w:cs="Arial"/>
          <w:szCs w:val="24"/>
        </w:rPr>
        <w:t>¾”</w:t>
      </w:r>
      <w:r w:rsidR="00867976">
        <w:rPr>
          <w:rFonts w:cs="Arial"/>
          <w:szCs w:val="24"/>
        </w:rPr>
        <w:t xml:space="preserve">. Ao longo desta tubulação existem </w:t>
      </w:r>
      <w:r w:rsidR="002B421B">
        <w:rPr>
          <w:rFonts w:cs="Arial"/>
          <w:szCs w:val="24"/>
        </w:rPr>
        <w:t xml:space="preserve">(f) </w:t>
      </w:r>
      <w:r w:rsidR="00867976">
        <w:rPr>
          <w:rFonts w:cs="Arial"/>
          <w:szCs w:val="24"/>
        </w:rPr>
        <w:t>três</w:t>
      </w:r>
      <w:r w:rsidR="00867976" w:rsidRPr="00867976">
        <w:rPr>
          <w:rFonts w:cs="Arial"/>
          <w:szCs w:val="24"/>
        </w:rPr>
        <w:t xml:space="preserve"> válvulas eletropneumáticas Fluid Control</w:t>
      </w:r>
      <w:r w:rsidR="002B421B">
        <w:rPr>
          <w:rFonts w:cs="Arial"/>
          <w:szCs w:val="24"/>
        </w:rPr>
        <w:t xml:space="preserve"> NF</w:t>
      </w:r>
      <w:r w:rsidR="00867976">
        <w:rPr>
          <w:rFonts w:cs="Arial"/>
          <w:szCs w:val="24"/>
        </w:rPr>
        <w:t>. Em um trecho</w:t>
      </w:r>
      <w:r>
        <w:rPr>
          <w:rFonts w:cs="Arial"/>
          <w:szCs w:val="24"/>
        </w:rPr>
        <w:t xml:space="preserve"> n</w:t>
      </w:r>
      <w:r w:rsidR="00867976">
        <w:rPr>
          <w:rFonts w:cs="Arial"/>
          <w:szCs w:val="24"/>
        </w:rPr>
        <w:t xml:space="preserve">a tubulação horizontal inferior estão dispostos </w:t>
      </w:r>
      <w:r w:rsidR="0018665C">
        <w:rPr>
          <w:rFonts w:cs="Arial"/>
          <w:szCs w:val="24"/>
        </w:rPr>
        <w:t xml:space="preserve">(g) </w:t>
      </w:r>
      <w:r w:rsidR="00867976">
        <w:rPr>
          <w:rFonts w:cs="Arial"/>
          <w:szCs w:val="24"/>
        </w:rPr>
        <w:t>quatro</w:t>
      </w:r>
      <w:r w:rsidR="00867976" w:rsidRPr="00867976">
        <w:rPr>
          <w:rFonts w:cs="Arial"/>
          <w:szCs w:val="24"/>
        </w:rPr>
        <w:t xml:space="preserve"> </w:t>
      </w:r>
      <w:r w:rsidR="00867976" w:rsidRPr="00546C5E">
        <w:rPr>
          <w:rFonts w:cs="Arial"/>
          <w:szCs w:val="24"/>
        </w:rPr>
        <w:t>transdutores de pressão Wärme modelo WTP-4010</w:t>
      </w:r>
      <w:r w:rsidR="007B51DB">
        <w:rPr>
          <w:rFonts w:cs="Arial"/>
          <w:szCs w:val="24"/>
        </w:rPr>
        <w:t xml:space="preserve"> </w:t>
      </w:r>
      <w:r w:rsidR="00867976">
        <w:rPr>
          <w:rFonts w:cs="Arial"/>
          <w:szCs w:val="24"/>
        </w:rPr>
        <w:t xml:space="preserve">espaçados em 2,50 m, 1,00 m e 0,50 m respectivamente, para a obtenção de dados de pressão ao longo deste trecho. Após a tubulação horizontal inferior, há uma expansão para uma tubulação de 1” em aço inox para que a vazão seja </w:t>
      </w:r>
      <w:r>
        <w:rPr>
          <w:rFonts w:cs="Arial"/>
          <w:szCs w:val="24"/>
        </w:rPr>
        <w:t xml:space="preserve">medida </w:t>
      </w:r>
      <w:r w:rsidR="00320E34">
        <w:rPr>
          <w:rFonts w:cs="Arial"/>
          <w:szCs w:val="24"/>
        </w:rPr>
        <w:t xml:space="preserve">por meio de </w:t>
      </w:r>
      <w:r w:rsidR="00867976">
        <w:rPr>
          <w:rFonts w:cs="Arial"/>
          <w:szCs w:val="24"/>
        </w:rPr>
        <w:t xml:space="preserve">um </w:t>
      </w:r>
      <w:r w:rsidR="00867976" w:rsidRPr="00546C5E">
        <w:rPr>
          <w:rFonts w:cs="Arial"/>
          <w:szCs w:val="24"/>
        </w:rPr>
        <w:t>medidor de vazão eletrom</w:t>
      </w:r>
      <w:r w:rsidR="00867976">
        <w:rPr>
          <w:rFonts w:cs="Arial"/>
          <w:szCs w:val="24"/>
        </w:rPr>
        <w:t xml:space="preserve">agnético </w:t>
      </w:r>
      <w:r w:rsidR="00320E34">
        <w:rPr>
          <w:rFonts w:cs="Arial"/>
          <w:szCs w:val="24"/>
        </w:rPr>
        <w:t xml:space="preserve">(h) </w:t>
      </w:r>
      <w:r w:rsidR="00867976">
        <w:rPr>
          <w:rFonts w:cs="Arial"/>
          <w:szCs w:val="24"/>
        </w:rPr>
        <w:t xml:space="preserve">Wärme modelo WPRO-1000. Em seguida, uma redução direciona o fluido para a tubulação de aço inox de </w:t>
      </w:r>
      <w:r w:rsidR="00867976" w:rsidRPr="004808D9">
        <w:rPr>
          <w:rFonts w:cs="Arial"/>
          <w:szCs w:val="24"/>
        </w:rPr>
        <w:t>¾”</w:t>
      </w:r>
      <w:r w:rsidR="00BC6DC6">
        <w:rPr>
          <w:rFonts w:cs="Arial"/>
          <w:szCs w:val="24"/>
        </w:rPr>
        <w:t>, levando até u</w:t>
      </w:r>
      <w:r w:rsidR="00867976">
        <w:rPr>
          <w:rFonts w:cs="Arial"/>
          <w:szCs w:val="24"/>
        </w:rPr>
        <w:t xml:space="preserve">m mangote de </w:t>
      </w:r>
      <w:r w:rsidR="00867976" w:rsidRPr="004808D9">
        <w:rPr>
          <w:rFonts w:cs="Arial"/>
          <w:szCs w:val="24"/>
        </w:rPr>
        <w:t>¾”</w:t>
      </w:r>
      <w:r w:rsidR="00320E34">
        <w:rPr>
          <w:rFonts w:cs="Arial"/>
          <w:szCs w:val="24"/>
        </w:rPr>
        <w:t xml:space="preserve"> que retorna o fluido ao reservatório</w:t>
      </w:r>
      <w:r w:rsidR="0018665C">
        <w:rPr>
          <w:rFonts w:cs="Arial"/>
          <w:szCs w:val="24"/>
        </w:rPr>
        <w:t>.</w:t>
      </w:r>
      <w:r w:rsidR="003A1859">
        <w:rPr>
          <w:rFonts w:cs="Arial"/>
          <w:szCs w:val="24"/>
        </w:rPr>
        <w:t xml:space="preserve"> A </w:t>
      </w:r>
      <w:r w:rsidR="003B3577">
        <w:rPr>
          <w:rFonts w:cs="Arial"/>
          <w:szCs w:val="24"/>
        </w:rPr>
        <w:fldChar w:fldCharType="begin"/>
      </w:r>
      <w:r w:rsidR="003B3577">
        <w:rPr>
          <w:rFonts w:cs="Arial"/>
          <w:szCs w:val="24"/>
        </w:rPr>
        <w:instrText xml:space="preserve"> REF _Ref488102826 \h </w:instrText>
      </w:r>
      <w:r w:rsidR="003B3577">
        <w:rPr>
          <w:rFonts w:cs="Arial"/>
          <w:szCs w:val="24"/>
        </w:rPr>
      </w:r>
      <w:r w:rsidR="003B3577">
        <w:rPr>
          <w:rFonts w:cs="Arial"/>
          <w:szCs w:val="24"/>
        </w:rPr>
        <w:fldChar w:fldCharType="separate"/>
      </w:r>
      <w:r w:rsidR="00380A8E">
        <w:t xml:space="preserve">Tabela </w:t>
      </w:r>
      <w:r w:rsidR="00380A8E">
        <w:rPr>
          <w:noProof/>
        </w:rPr>
        <w:t>1</w:t>
      </w:r>
      <w:r w:rsidR="003B3577">
        <w:rPr>
          <w:rFonts w:cs="Arial"/>
          <w:szCs w:val="24"/>
        </w:rPr>
        <w:fldChar w:fldCharType="end"/>
      </w:r>
      <w:r w:rsidR="003B3577">
        <w:rPr>
          <w:rFonts w:cs="Arial"/>
          <w:szCs w:val="24"/>
        </w:rPr>
        <w:t xml:space="preserve"> </w:t>
      </w:r>
      <w:r w:rsidR="003A1859">
        <w:rPr>
          <w:rFonts w:cs="Arial"/>
          <w:szCs w:val="24"/>
        </w:rPr>
        <w:t>apresenta os comprimentos totais de cada tipo de</w:t>
      </w:r>
      <w:r w:rsidR="003B3577">
        <w:rPr>
          <w:rFonts w:cs="Arial"/>
          <w:szCs w:val="24"/>
        </w:rPr>
        <w:t xml:space="preserve"> tubulação utilizada na planta.</w:t>
      </w:r>
    </w:p>
    <w:p w:rsidR="00EE3BF7" w:rsidRPr="002855BE" w:rsidRDefault="00EE3BF7" w:rsidP="002434CC">
      <w:pPr>
        <w:pStyle w:val="Tabela-PG"/>
      </w:pPr>
      <w:bookmarkStart w:id="96" w:name="_Ref488102826"/>
      <w:bookmarkStart w:id="97" w:name="_Toc488706082"/>
      <w:r w:rsidRPr="002855BE">
        <w:t xml:space="preserve">Tabela </w:t>
      </w:r>
      <w:fldSimple w:instr=" SEQ Tabela \* ARABIC ">
        <w:r w:rsidR="00C91A0F">
          <w:rPr>
            <w:noProof/>
          </w:rPr>
          <w:t>1</w:t>
        </w:r>
      </w:fldSimple>
      <w:bookmarkEnd w:id="96"/>
      <w:r w:rsidR="00ED051D">
        <w:t xml:space="preserve"> -</w:t>
      </w:r>
      <w:r w:rsidRPr="002855BE">
        <w:t xml:space="preserve"> Comprimento total de tubulações, mangotes e serpentinas utilizadas para o experimento.</w:t>
      </w:r>
      <w:bookmarkEnd w:id="97"/>
    </w:p>
    <w:tbl>
      <w:tblPr>
        <w:tblW w:w="9072" w:type="dxa"/>
        <w:tblCellMar>
          <w:left w:w="70" w:type="dxa"/>
          <w:right w:w="70" w:type="dxa"/>
        </w:tblCellMar>
        <w:tblLook w:val="04A0" w:firstRow="1" w:lastRow="0" w:firstColumn="1" w:lastColumn="0" w:noHBand="0" w:noVBand="1"/>
      </w:tblPr>
      <w:tblGrid>
        <w:gridCol w:w="6980"/>
        <w:gridCol w:w="2092"/>
      </w:tblGrid>
      <w:tr w:rsidR="003A1859" w:rsidRPr="003A1859" w:rsidTr="003A1859">
        <w:trPr>
          <w:trHeight w:val="671"/>
        </w:trPr>
        <w:tc>
          <w:tcPr>
            <w:tcW w:w="6980" w:type="dxa"/>
            <w:tcBorders>
              <w:top w:val="single" w:sz="4" w:space="0" w:color="auto"/>
              <w:left w:val="nil"/>
              <w:bottom w:val="single" w:sz="4" w:space="0" w:color="auto"/>
              <w:right w:val="nil"/>
            </w:tcBorders>
            <w:shd w:val="clear" w:color="000000" w:fill="FFFFFF"/>
            <w:noWrap/>
            <w:vAlign w:val="center"/>
            <w:hideMark/>
          </w:tcPr>
          <w:p w:rsidR="003A1859" w:rsidRPr="003A1859" w:rsidRDefault="003A1859" w:rsidP="003A1859">
            <w:pPr>
              <w:spacing w:after="0" w:line="240" w:lineRule="auto"/>
              <w:contextualSpacing w:val="0"/>
              <w:jc w:val="center"/>
              <w:rPr>
                <w:rFonts w:eastAsia="Times New Roman" w:cs="Arial"/>
                <w:b/>
                <w:i/>
                <w:iCs/>
                <w:color w:val="000000"/>
                <w:szCs w:val="24"/>
                <w:lang w:eastAsia="pt-BR"/>
              </w:rPr>
            </w:pPr>
            <w:r w:rsidRPr="003A1859">
              <w:rPr>
                <w:rFonts w:eastAsia="Times New Roman" w:cs="Arial"/>
                <w:b/>
                <w:i/>
                <w:iCs/>
                <w:color w:val="000000"/>
                <w:szCs w:val="24"/>
                <w:lang w:eastAsia="pt-BR"/>
              </w:rPr>
              <w:t>Material</w:t>
            </w:r>
          </w:p>
        </w:tc>
        <w:tc>
          <w:tcPr>
            <w:tcW w:w="2092" w:type="dxa"/>
            <w:tcBorders>
              <w:top w:val="single" w:sz="4" w:space="0" w:color="auto"/>
              <w:left w:val="nil"/>
              <w:bottom w:val="single" w:sz="4" w:space="0" w:color="auto"/>
              <w:right w:val="nil"/>
            </w:tcBorders>
            <w:shd w:val="clear" w:color="000000" w:fill="FFFFFF"/>
            <w:noWrap/>
            <w:vAlign w:val="center"/>
            <w:hideMark/>
          </w:tcPr>
          <w:p w:rsidR="003A1859" w:rsidRPr="003A1859" w:rsidRDefault="003A1859" w:rsidP="003A1859">
            <w:pPr>
              <w:spacing w:after="0" w:line="240" w:lineRule="auto"/>
              <w:contextualSpacing w:val="0"/>
              <w:jc w:val="center"/>
              <w:rPr>
                <w:rFonts w:eastAsia="Times New Roman" w:cs="Arial"/>
                <w:b/>
                <w:i/>
                <w:iCs/>
                <w:color w:val="000000"/>
                <w:szCs w:val="24"/>
                <w:lang w:eastAsia="pt-BR"/>
              </w:rPr>
            </w:pPr>
            <w:r w:rsidRPr="003A1859">
              <w:rPr>
                <w:rFonts w:eastAsia="Times New Roman" w:cs="Arial"/>
                <w:b/>
                <w:i/>
                <w:iCs/>
                <w:color w:val="000000"/>
                <w:szCs w:val="24"/>
                <w:lang w:eastAsia="pt-BR"/>
              </w:rPr>
              <w:t>Comprimento</w:t>
            </w:r>
          </w:p>
        </w:tc>
      </w:tr>
      <w:tr w:rsidR="003A1859" w:rsidRPr="003A1859" w:rsidTr="003A1859">
        <w:trPr>
          <w:trHeight w:val="450"/>
        </w:trPr>
        <w:tc>
          <w:tcPr>
            <w:tcW w:w="6980" w:type="dxa"/>
            <w:tcBorders>
              <w:top w:val="nil"/>
              <w:left w:val="nil"/>
              <w:bottom w:val="single" w:sz="4" w:space="0" w:color="auto"/>
              <w:right w:val="nil"/>
            </w:tcBorders>
            <w:shd w:val="clear" w:color="000000" w:fill="FFFFFF"/>
            <w:noWrap/>
            <w:vAlign w:val="center"/>
            <w:hideMark/>
          </w:tcPr>
          <w:p w:rsidR="003A1859" w:rsidRPr="003A1859" w:rsidRDefault="003A1859" w:rsidP="003A1859">
            <w:pPr>
              <w:spacing w:after="0" w:line="240" w:lineRule="auto"/>
              <w:contextualSpacing w:val="0"/>
              <w:jc w:val="left"/>
              <w:rPr>
                <w:rFonts w:eastAsia="Times New Roman" w:cs="Arial"/>
                <w:color w:val="000000"/>
                <w:sz w:val="20"/>
                <w:szCs w:val="24"/>
                <w:lang w:eastAsia="pt-BR"/>
              </w:rPr>
            </w:pPr>
            <w:r w:rsidRPr="003A1859">
              <w:rPr>
                <w:rFonts w:eastAsia="Times New Roman" w:cs="Arial"/>
                <w:color w:val="000000"/>
                <w:sz w:val="20"/>
                <w:szCs w:val="24"/>
                <w:lang w:eastAsia="pt-BR"/>
              </w:rPr>
              <w:t xml:space="preserve">Aço </w:t>
            </w:r>
            <w:r w:rsidR="009271FE" w:rsidRPr="003A1859">
              <w:rPr>
                <w:rFonts w:eastAsia="Times New Roman" w:cs="Arial"/>
                <w:color w:val="000000"/>
                <w:sz w:val="20"/>
                <w:szCs w:val="24"/>
                <w:lang w:eastAsia="pt-BR"/>
              </w:rPr>
              <w:t>inoxidável ¾</w:t>
            </w:r>
            <w:r w:rsidRPr="003A1859">
              <w:rPr>
                <w:rFonts w:eastAsia="Times New Roman" w:cs="Arial"/>
                <w:color w:val="000000"/>
                <w:sz w:val="20"/>
                <w:szCs w:val="24"/>
                <w:lang w:eastAsia="pt-BR"/>
              </w:rPr>
              <w:t>"</w:t>
            </w:r>
          </w:p>
        </w:tc>
        <w:tc>
          <w:tcPr>
            <w:tcW w:w="2092" w:type="dxa"/>
            <w:tcBorders>
              <w:top w:val="nil"/>
              <w:left w:val="nil"/>
              <w:bottom w:val="single" w:sz="4" w:space="0" w:color="auto"/>
              <w:right w:val="nil"/>
            </w:tcBorders>
            <w:shd w:val="clear" w:color="000000" w:fill="FFFFFF"/>
            <w:noWrap/>
            <w:vAlign w:val="center"/>
            <w:hideMark/>
          </w:tcPr>
          <w:p w:rsidR="003A1859" w:rsidRPr="003A1859" w:rsidRDefault="003A1859" w:rsidP="003A1859">
            <w:pPr>
              <w:spacing w:after="0" w:line="240" w:lineRule="auto"/>
              <w:contextualSpacing w:val="0"/>
              <w:jc w:val="center"/>
              <w:rPr>
                <w:rFonts w:eastAsia="Times New Roman" w:cs="Arial"/>
                <w:color w:val="000000"/>
                <w:sz w:val="20"/>
                <w:szCs w:val="24"/>
                <w:lang w:eastAsia="pt-BR"/>
              </w:rPr>
            </w:pPr>
            <w:r w:rsidRPr="003A1859">
              <w:rPr>
                <w:rFonts w:eastAsia="Times New Roman" w:cs="Arial"/>
                <w:color w:val="000000"/>
                <w:sz w:val="20"/>
                <w:szCs w:val="24"/>
                <w:lang w:eastAsia="pt-BR"/>
              </w:rPr>
              <w:t>16,50 m</w:t>
            </w:r>
          </w:p>
        </w:tc>
      </w:tr>
      <w:tr w:rsidR="003A1859" w:rsidRPr="003A1859" w:rsidTr="003A1859">
        <w:trPr>
          <w:trHeight w:val="450"/>
        </w:trPr>
        <w:tc>
          <w:tcPr>
            <w:tcW w:w="6980" w:type="dxa"/>
            <w:tcBorders>
              <w:top w:val="nil"/>
              <w:left w:val="nil"/>
              <w:bottom w:val="nil"/>
              <w:right w:val="nil"/>
            </w:tcBorders>
            <w:shd w:val="clear" w:color="000000" w:fill="FFFFFF"/>
            <w:noWrap/>
            <w:vAlign w:val="center"/>
            <w:hideMark/>
          </w:tcPr>
          <w:p w:rsidR="003A1859" w:rsidRPr="003A1859" w:rsidRDefault="003A1859" w:rsidP="003A1859">
            <w:pPr>
              <w:spacing w:after="0" w:line="240" w:lineRule="auto"/>
              <w:contextualSpacing w:val="0"/>
              <w:jc w:val="left"/>
              <w:rPr>
                <w:rFonts w:eastAsia="Times New Roman" w:cs="Arial"/>
                <w:color w:val="000000"/>
                <w:sz w:val="20"/>
                <w:szCs w:val="24"/>
                <w:lang w:eastAsia="pt-BR"/>
              </w:rPr>
            </w:pPr>
            <w:r w:rsidRPr="003A1859">
              <w:rPr>
                <w:rFonts w:eastAsia="Times New Roman" w:cs="Arial"/>
                <w:color w:val="000000"/>
                <w:sz w:val="20"/>
                <w:szCs w:val="24"/>
                <w:lang w:eastAsia="pt-BR"/>
              </w:rPr>
              <w:t xml:space="preserve">Aço </w:t>
            </w:r>
            <w:r w:rsidR="009271FE" w:rsidRPr="003A1859">
              <w:rPr>
                <w:rFonts w:eastAsia="Times New Roman" w:cs="Arial"/>
                <w:color w:val="000000"/>
                <w:sz w:val="20"/>
                <w:szCs w:val="24"/>
                <w:lang w:eastAsia="pt-BR"/>
              </w:rPr>
              <w:t>inoxidável 1</w:t>
            </w:r>
            <w:r w:rsidRPr="003A1859">
              <w:rPr>
                <w:rFonts w:eastAsia="Times New Roman" w:cs="Arial"/>
                <w:color w:val="000000"/>
                <w:sz w:val="20"/>
                <w:szCs w:val="24"/>
                <w:lang w:eastAsia="pt-BR"/>
              </w:rPr>
              <w:t>"</w:t>
            </w:r>
          </w:p>
        </w:tc>
        <w:tc>
          <w:tcPr>
            <w:tcW w:w="2092" w:type="dxa"/>
            <w:tcBorders>
              <w:top w:val="nil"/>
              <w:left w:val="nil"/>
              <w:bottom w:val="nil"/>
              <w:right w:val="nil"/>
            </w:tcBorders>
            <w:shd w:val="clear" w:color="000000" w:fill="FFFFFF"/>
            <w:noWrap/>
            <w:vAlign w:val="center"/>
            <w:hideMark/>
          </w:tcPr>
          <w:p w:rsidR="003A1859" w:rsidRPr="003A1859" w:rsidRDefault="003A1859" w:rsidP="003A1859">
            <w:pPr>
              <w:spacing w:after="0" w:line="240" w:lineRule="auto"/>
              <w:contextualSpacing w:val="0"/>
              <w:jc w:val="center"/>
              <w:rPr>
                <w:rFonts w:eastAsia="Times New Roman" w:cs="Arial"/>
                <w:color w:val="000000"/>
                <w:sz w:val="20"/>
                <w:szCs w:val="24"/>
                <w:lang w:eastAsia="pt-BR"/>
              </w:rPr>
            </w:pPr>
            <w:r w:rsidRPr="003A1859">
              <w:rPr>
                <w:rFonts w:eastAsia="Times New Roman" w:cs="Arial"/>
                <w:color w:val="000000"/>
                <w:sz w:val="20"/>
                <w:szCs w:val="24"/>
                <w:lang w:eastAsia="pt-BR"/>
              </w:rPr>
              <w:t>1,05 m</w:t>
            </w:r>
          </w:p>
        </w:tc>
      </w:tr>
      <w:tr w:rsidR="003A1859" w:rsidRPr="003A1859" w:rsidTr="003A1859">
        <w:trPr>
          <w:trHeight w:val="450"/>
        </w:trPr>
        <w:tc>
          <w:tcPr>
            <w:tcW w:w="6980" w:type="dxa"/>
            <w:tcBorders>
              <w:top w:val="single" w:sz="4" w:space="0" w:color="auto"/>
              <w:left w:val="nil"/>
              <w:bottom w:val="single" w:sz="4" w:space="0" w:color="auto"/>
              <w:right w:val="nil"/>
            </w:tcBorders>
            <w:shd w:val="clear" w:color="000000" w:fill="FFFFFF"/>
            <w:noWrap/>
            <w:vAlign w:val="center"/>
            <w:hideMark/>
          </w:tcPr>
          <w:p w:rsidR="003A1859" w:rsidRPr="003A1859" w:rsidRDefault="003A1859" w:rsidP="003A1859">
            <w:pPr>
              <w:spacing w:after="0" w:line="240" w:lineRule="auto"/>
              <w:contextualSpacing w:val="0"/>
              <w:jc w:val="left"/>
              <w:rPr>
                <w:rFonts w:eastAsia="Times New Roman" w:cs="Arial"/>
                <w:color w:val="000000"/>
                <w:sz w:val="20"/>
                <w:szCs w:val="24"/>
                <w:lang w:eastAsia="pt-BR"/>
              </w:rPr>
            </w:pPr>
            <w:r w:rsidRPr="003A1859">
              <w:rPr>
                <w:rFonts w:eastAsia="Times New Roman" w:cs="Arial"/>
                <w:color w:val="000000"/>
                <w:sz w:val="20"/>
                <w:szCs w:val="24"/>
                <w:lang w:eastAsia="pt-BR"/>
              </w:rPr>
              <w:t>Acrílico ¾"</w:t>
            </w:r>
          </w:p>
        </w:tc>
        <w:tc>
          <w:tcPr>
            <w:tcW w:w="2092" w:type="dxa"/>
            <w:tcBorders>
              <w:top w:val="single" w:sz="4" w:space="0" w:color="auto"/>
              <w:left w:val="nil"/>
              <w:bottom w:val="single" w:sz="4" w:space="0" w:color="auto"/>
              <w:right w:val="nil"/>
            </w:tcBorders>
            <w:shd w:val="clear" w:color="000000" w:fill="FFFFFF"/>
            <w:noWrap/>
            <w:vAlign w:val="center"/>
            <w:hideMark/>
          </w:tcPr>
          <w:p w:rsidR="003A1859" w:rsidRPr="003A1859" w:rsidRDefault="003A1859" w:rsidP="003A1859">
            <w:pPr>
              <w:spacing w:after="0" w:line="240" w:lineRule="auto"/>
              <w:contextualSpacing w:val="0"/>
              <w:jc w:val="center"/>
              <w:rPr>
                <w:rFonts w:eastAsia="Times New Roman" w:cs="Arial"/>
                <w:color w:val="000000"/>
                <w:sz w:val="20"/>
                <w:szCs w:val="24"/>
                <w:lang w:eastAsia="pt-BR"/>
              </w:rPr>
            </w:pPr>
            <w:r w:rsidRPr="003A1859">
              <w:rPr>
                <w:rFonts w:eastAsia="Times New Roman" w:cs="Arial"/>
                <w:color w:val="000000"/>
                <w:sz w:val="20"/>
                <w:szCs w:val="24"/>
                <w:lang w:eastAsia="pt-BR"/>
              </w:rPr>
              <w:t>2,50 m</w:t>
            </w:r>
          </w:p>
        </w:tc>
      </w:tr>
      <w:tr w:rsidR="003A1859" w:rsidRPr="003A1859" w:rsidTr="003A1859">
        <w:trPr>
          <w:trHeight w:val="450"/>
        </w:trPr>
        <w:tc>
          <w:tcPr>
            <w:tcW w:w="6980" w:type="dxa"/>
            <w:tcBorders>
              <w:top w:val="nil"/>
              <w:left w:val="nil"/>
              <w:bottom w:val="single" w:sz="4" w:space="0" w:color="auto"/>
              <w:right w:val="nil"/>
            </w:tcBorders>
            <w:shd w:val="clear" w:color="000000" w:fill="FFFFFF"/>
            <w:noWrap/>
            <w:vAlign w:val="center"/>
            <w:hideMark/>
          </w:tcPr>
          <w:p w:rsidR="003A1859" w:rsidRPr="003A1859" w:rsidRDefault="003A1859" w:rsidP="003A1859">
            <w:pPr>
              <w:spacing w:after="0" w:line="240" w:lineRule="auto"/>
              <w:contextualSpacing w:val="0"/>
              <w:jc w:val="left"/>
              <w:rPr>
                <w:rFonts w:eastAsia="Times New Roman" w:cs="Arial"/>
                <w:color w:val="000000"/>
                <w:sz w:val="20"/>
                <w:szCs w:val="24"/>
                <w:lang w:eastAsia="pt-BR"/>
              </w:rPr>
            </w:pPr>
            <w:r w:rsidRPr="003A1859">
              <w:rPr>
                <w:rFonts w:eastAsia="Times New Roman" w:cs="Arial"/>
                <w:color w:val="000000"/>
                <w:sz w:val="20"/>
                <w:szCs w:val="24"/>
                <w:lang w:eastAsia="pt-BR"/>
              </w:rPr>
              <w:t>Mangote Hidráulico ¾"</w:t>
            </w:r>
          </w:p>
        </w:tc>
        <w:tc>
          <w:tcPr>
            <w:tcW w:w="2092" w:type="dxa"/>
            <w:tcBorders>
              <w:top w:val="nil"/>
              <w:left w:val="nil"/>
              <w:bottom w:val="single" w:sz="4" w:space="0" w:color="auto"/>
              <w:right w:val="nil"/>
            </w:tcBorders>
            <w:shd w:val="clear" w:color="000000" w:fill="FFFFFF"/>
            <w:noWrap/>
            <w:vAlign w:val="center"/>
            <w:hideMark/>
          </w:tcPr>
          <w:p w:rsidR="003A1859" w:rsidRPr="003A1859" w:rsidRDefault="003A1859" w:rsidP="003A1859">
            <w:pPr>
              <w:spacing w:after="0" w:line="240" w:lineRule="auto"/>
              <w:contextualSpacing w:val="0"/>
              <w:jc w:val="center"/>
              <w:rPr>
                <w:rFonts w:eastAsia="Times New Roman" w:cs="Arial"/>
                <w:color w:val="000000"/>
                <w:sz w:val="20"/>
                <w:szCs w:val="24"/>
                <w:lang w:eastAsia="pt-BR"/>
              </w:rPr>
            </w:pPr>
            <w:r w:rsidRPr="003A1859">
              <w:rPr>
                <w:rFonts w:eastAsia="Times New Roman" w:cs="Arial"/>
                <w:color w:val="000000"/>
                <w:sz w:val="20"/>
                <w:szCs w:val="24"/>
                <w:lang w:eastAsia="pt-BR"/>
              </w:rPr>
              <w:t>8,50 m</w:t>
            </w:r>
          </w:p>
        </w:tc>
      </w:tr>
      <w:tr w:rsidR="003A1859" w:rsidRPr="003A1859" w:rsidTr="003A1859">
        <w:trPr>
          <w:trHeight w:val="450"/>
        </w:trPr>
        <w:tc>
          <w:tcPr>
            <w:tcW w:w="6980" w:type="dxa"/>
            <w:tcBorders>
              <w:top w:val="nil"/>
              <w:left w:val="nil"/>
              <w:bottom w:val="single" w:sz="4" w:space="0" w:color="auto"/>
              <w:right w:val="nil"/>
            </w:tcBorders>
            <w:shd w:val="clear" w:color="000000" w:fill="FFFFFF"/>
            <w:noWrap/>
            <w:vAlign w:val="center"/>
            <w:hideMark/>
          </w:tcPr>
          <w:p w:rsidR="003A1859" w:rsidRPr="003A1859" w:rsidRDefault="003A1859" w:rsidP="003A1859">
            <w:pPr>
              <w:spacing w:after="0" w:line="240" w:lineRule="auto"/>
              <w:contextualSpacing w:val="0"/>
              <w:jc w:val="left"/>
              <w:rPr>
                <w:rFonts w:eastAsia="Times New Roman" w:cs="Arial"/>
                <w:color w:val="000000"/>
                <w:sz w:val="20"/>
                <w:szCs w:val="24"/>
                <w:lang w:eastAsia="pt-BR"/>
              </w:rPr>
            </w:pPr>
            <w:r w:rsidRPr="003A1859">
              <w:rPr>
                <w:rFonts w:eastAsia="Times New Roman" w:cs="Arial"/>
                <w:color w:val="000000"/>
                <w:sz w:val="20"/>
                <w:szCs w:val="24"/>
                <w:lang w:eastAsia="pt-BR"/>
              </w:rPr>
              <w:t>Mangote Hidráulico 1"</w:t>
            </w:r>
          </w:p>
        </w:tc>
        <w:tc>
          <w:tcPr>
            <w:tcW w:w="2092" w:type="dxa"/>
            <w:tcBorders>
              <w:top w:val="nil"/>
              <w:left w:val="nil"/>
              <w:bottom w:val="single" w:sz="4" w:space="0" w:color="auto"/>
              <w:right w:val="nil"/>
            </w:tcBorders>
            <w:shd w:val="clear" w:color="000000" w:fill="FFFFFF"/>
            <w:noWrap/>
            <w:vAlign w:val="center"/>
            <w:hideMark/>
          </w:tcPr>
          <w:p w:rsidR="003A1859" w:rsidRPr="003A1859" w:rsidRDefault="003A1859" w:rsidP="003A1859">
            <w:pPr>
              <w:spacing w:after="0" w:line="240" w:lineRule="auto"/>
              <w:contextualSpacing w:val="0"/>
              <w:jc w:val="center"/>
              <w:rPr>
                <w:rFonts w:eastAsia="Times New Roman" w:cs="Arial"/>
                <w:color w:val="000000"/>
                <w:sz w:val="20"/>
                <w:szCs w:val="24"/>
                <w:lang w:eastAsia="pt-BR"/>
              </w:rPr>
            </w:pPr>
            <w:r w:rsidRPr="003A1859">
              <w:rPr>
                <w:rFonts w:eastAsia="Times New Roman" w:cs="Arial"/>
                <w:color w:val="000000"/>
                <w:sz w:val="20"/>
                <w:szCs w:val="24"/>
                <w:lang w:eastAsia="pt-BR"/>
              </w:rPr>
              <w:t>1,15 m</w:t>
            </w:r>
          </w:p>
        </w:tc>
      </w:tr>
      <w:tr w:rsidR="003A1859" w:rsidRPr="003A1859" w:rsidTr="003A1859">
        <w:trPr>
          <w:trHeight w:val="450"/>
        </w:trPr>
        <w:tc>
          <w:tcPr>
            <w:tcW w:w="6980" w:type="dxa"/>
            <w:tcBorders>
              <w:top w:val="nil"/>
              <w:left w:val="nil"/>
              <w:bottom w:val="single" w:sz="4" w:space="0" w:color="auto"/>
              <w:right w:val="nil"/>
            </w:tcBorders>
            <w:shd w:val="clear" w:color="000000" w:fill="FFFFFF"/>
            <w:noWrap/>
            <w:vAlign w:val="center"/>
            <w:hideMark/>
          </w:tcPr>
          <w:p w:rsidR="003A1859" w:rsidRPr="003A1859" w:rsidRDefault="003A1859" w:rsidP="003A1859">
            <w:pPr>
              <w:spacing w:after="0" w:line="240" w:lineRule="auto"/>
              <w:contextualSpacing w:val="0"/>
              <w:jc w:val="left"/>
              <w:rPr>
                <w:rFonts w:eastAsia="Times New Roman" w:cs="Arial"/>
                <w:color w:val="000000"/>
                <w:sz w:val="20"/>
                <w:szCs w:val="24"/>
                <w:lang w:eastAsia="pt-BR"/>
              </w:rPr>
            </w:pPr>
            <w:r w:rsidRPr="003A1859">
              <w:rPr>
                <w:rFonts w:eastAsia="Times New Roman" w:cs="Arial"/>
                <w:color w:val="000000"/>
                <w:sz w:val="20"/>
                <w:szCs w:val="24"/>
                <w:lang w:eastAsia="pt-BR"/>
              </w:rPr>
              <w:t>Mangote Hidráulico 1.½"</w:t>
            </w:r>
          </w:p>
        </w:tc>
        <w:tc>
          <w:tcPr>
            <w:tcW w:w="2092" w:type="dxa"/>
            <w:tcBorders>
              <w:top w:val="nil"/>
              <w:left w:val="nil"/>
              <w:bottom w:val="single" w:sz="4" w:space="0" w:color="auto"/>
              <w:right w:val="nil"/>
            </w:tcBorders>
            <w:shd w:val="clear" w:color="000000" w:fill="FFFFFF"/>
            <w:noWrap/>
            <w:vAlign w:val="center"/>
            <w:hideMark/>
          </w:tcPr>
          <w:p w:rsidR="003A1859" w:rsidRPr="003A1859" w:rsidRDefault="003A1859" w:rsidP="003A1859">
            <w:pPr>
              <w:spacing w:after="0" w:line="240" w:lineRule="auto"/>
              <w:contextualSpacing w:val="0"/>
              <w:jc w:val="center"/>
              <w:rPr>
                <w:rFonts w:eastAsia="Times New Roman" w:cs="Arial"/>
                <w:color w:val="000000"/>
                <w:sz w:val="20"/>
                <w:szCs w:val="24"/>
                <w:lang w:eastAsia="pt-BR"/>
              </w:rPr>
            </w:pPr>
            <w:r w:rsidRPr="003A1859">
              <w:rPr>
                <w:rFonts w:eastAsia="Times New Roman" w:cs="Arial"/>
                <w:color w:val="000000"/>
                <w:sz w:val="20"/>
                <w:szCs w:val="24"/>
                <w:lang w:eastAsia="pt-BR"/>
              </w:rPr>
              <w:t>0,25 m</w:t>
            </w:r>
          </w:p>
        </w:tc>
      </w:tr>
      <w:tr w:rsidR="003A1859" w:rsidRPr="003A1859" w:rsidTr="003A1859">
        <w:trPr>
          <w:trHeight w:val="450"/>
        </w:trPr>
        <w:tc>
          <w:tcPr>
            <w:tcW w:w="6980" w:type="dxa"/>
            <w:tcBorders>
              <w:top w:val="nil"/>
              <w:left w:val="nil"/>
              <w:bottom w:val="single" w:sz="4" w:space="0" w:color="auto"/>
              <w:right w:val="nil"/>
            </w:tcBorders>
            <w:shd w:val="clear" w:color="000000" w:fill="FFFFFF"/>
            <w:noWrap/>
            <w:vAlign w:val="center"/>
            <w:hideMark/>
          </w:tcPr>
          <w:p w:rsidR="003A1859" w:rsidRPr="003A1859" w:rsidRDefault="003A1859" w:rsidP="003A1859">
            <w:pPr>
              <w:spacing w:after="0" w:line="240" w:lineRule="auto"/>
              <w:contextualSpacing w:val="0"/>
              <w:jc w:val="left"/>
              <w:rPr>
                <w:rFonts w:eastAsia="Times New Roman" w:cs="Arial"/>
                <w:color w:val="000000"/>
                <w:sz w:val="20"/>
                <w:szCs w:val="24"/>
                <w:lang w:eastAsia="pt-BR"/>
              </w:rPr>
            </w:pPr>
            <w:r w:rsidRPr="003A1859">
              <w:rPr>
                <w:rFonts w:eastAsia="Times New Roman" w:cs="Arial"/>
                <w:color w:val="000000"/>
                <w:sz w:val="20"/>
                <w:szCs w:val="24"/>
                <w:lang w:eastAsia="pt-BR"/>
              </w:rPr>
              <w:t>Serpentina de Cobre 5/8"</w:t>
            </w:r>
          </w:p>
        </w:tc>
        <w:tc>
          <w:tcPr>
            <w:tcW w:w="2092" w:type="dxa"/>
            <w:tcBorders>
              <w:top w:val="nil"/>
              <w:left w:val="nil"/>
              <w:bottom w:val="single" w:sz="4" w:space="0" w:color="auto"/>
              <w:right w:val="nil"/>
            </w:tcBorders>
            <w:shd w:val="clear" w:color="000000" w:fill="FFFFFF"/>
            <w:noWrap/>
            <w:vAlign w:val="center"/>
            <w:hideMark/>
          </w:tcPr>
          <w:p w:rsidR="003A1859" w:rsidRPr="003A1859" w:rsidRDefault="003A1859" w:rsidP="003A1859">
            <w:pPr>
              <w:spacing w:after="0" w:line="240" w:lineRule="auto"/>
              <w:contextualSpacing w:val="0"/>
              <w:jc w:val="center"/>
              <w:rPr>
                <w:rFonts w:eastAsia="Times New Roman" w:cs="Arial"/>
                <w:color w:val="000000"/>
                <w:sz w:val="20"/>
                <w:szCs w:val="24"/>
                <w:lang w:eastAsia="pt-BR"/>
              </w:rPr>
            </w:pPr>
            <w:r w:rsidRPr="003A1859">
              <w:rPr>
                <w:rFonts w:eastAsia="Times New Roman" w:cs="Arial"/>
                <w:color w:val="000000"/>
                <w:sz w:val="20"/>
                <w:szCs w:val="24"/>
                <w:lang w:eastAsia="pt-BR"/>
              </w:rPr>
              <w:t>15,00 m</w:t>
            </w:r>
          </w:p>
        </w:tc>
      </w:tr>
    </w:tbl>
    <w:p w:rsidR="00616CED" w:rsidRDefault="00616CED" w:rsidP="00616CED">
      <w:pPr>
        <w:autoSpaceDE w:val="0"/>
        <w:autoSpaceDN w:val="0"/>
        <w:adjustRightInd w:val="0"/>
        <w:spacing w:before="120"/>
        <w:contextualSpacing w:val="0"/>
        <w:jc w:val="center"/>
        <w:rPr>
          <w:rFonts w:cs="Arial"/>
          <w:szCs w:val="24"/>
        </w:rPr>
      </w:pPr>
      <w:r>
        <w:t>Fonte: Autoria própria</w:t>
      </w:r>
    </w:p>
    <w:p w:rsidR="0018665C" w:rsidRDefault="00867976" w:rsidP="00C630DD">
      <w:pPr>
        <w:autoSpaceDE w:val="0"/>
        <w:autoSpaceDN w:val="0"/>
        <w:adjustRightInd w:val="0"/>
        <w:spacing w:before="120"/>
        <w:contextualSpacing w:val="0"/>
        <w:rPr>
          <w:rFonts w:cs="Arial"/>
          <w:szCs w:val="24"/>
        </w:rPr>
      </w:pPr>
      <w:r>
        <w:rPr>
          <w:rFonts w:cs="Arial"/>
          <w:szCs w:val="24"/>
        </w:rPr>
        <w:t xml:space="preserve">O controle de temperatura do fluido é realizado </w:t>
      </w:r>
      <w:r w:rsidR="00320E34">
        <w:rPr>
          <w:rFonts w:cs="Arial"/>
          <w:szCs w:val="24"/>
        </w:rPr>
        <w:t xml:space="preserve">por meio </w:t>
      </w:r>
      <w:r>
        <w:rPr>
          <w:rFonts w:cs="Arial"/>
          <w:szCs w:val="24"/>
        </w:rPr>
        <w:t>da transferência de calor promovida por um c</w:t>
      </w:r>
      <w:r w:rsidRPr="00546C5E">
        <w:rPr>
          <w:rFonts w:cs="Arial"/>
          <w:szCs w:val="24"/>
        </w:rPr>
        <w:t>hiller de circulação LAUDA Variocool VC 5000W</w:t>
      </w:r>
      <w:r>
        <w:rPr>
          <w:rFonts w:cs="Arial"/>
          <w:szCs w:val="24"/>
        </w:rPr>
        <w:t xml:space="preserve"> em uma serpentina de cobre de 5/8”.</w:t>
      </w:r>
      <w:r w:rsidR="0018665C">
        <w:rPr>
          <w:rFonts w:cs="Arial"/>
          <w:szCs w:val="24"/>
        </w:rPr>
        <w:t xml:space="preserve"> </w:t>
      </w:r>
      <w:r>
        <w:rPr>
          <w:rFonts w:cs="Arial"/>
          <w:szCs w:val="24"/>
        </w:rPr>
        <w:t>A medição da temperatura é feit</w:t>
      </w:r>
      <w:r w:rsidR="0018665C">
        <w:rPr>
          <w:rFonts w:cs="Arial"/>
          <w:szCs w:val="24"/>
        </w:rPr>
        <w:t>a por quatro termopares tipo T.</w:t>
      </w:r>
    </w:p>
    <w:p w:rsidR="00867976" w:rsidRDefault="00867976" w:rsidP="00093035">
      <w:pPr>
        <w:autoSpaceDE w:val="0"/>
        <w:autoSpaceDN w:val="0"/>
        <w:adjustRightInd w:val="0"/>
        <w:contextualSpacing w:val="0"/>
        <w:rPr>
          <w:rFonts w:cs="Arial"/>
          <w:szCs w:val="24"/>
        </w:rPr>
      </w:pPr>
      <w:r>
        <w:rPr>
          <w:rFonts w:cs="Arial"/>
          <w:szCs w:val="24"/>
        </w:rPr>
        <w:lastRenderedPageBreak/>
        <w:t xml:space="preserve">Para o controle da rotação e, consequentemente, da vazão das bombas, é usado um inversor de frequência WEG modelo CFW500. A aquisição da potência ativa e fator de potência é realizada por meio de um multimedidor de consumo Kron modelo MULT-K. Todos estes dados são ligados a um computador </w:t>
      </w:r>
      <w:r w:rsidRPr="004808D9">
        <w:rPr>
          <w:rFonts w:cs="Arial"/>
          <w:szCs w:val="24"/>
        </w:rPr>
        <w:t xml:space="preserve">equipado com supervisório </w:t>
      </w:r>
      <w:r>
        <w:rPr>
          <w:rFonts w:cs="Arial"/>
          <w:szCs w:val="24"/>
        </w:rPr>
        <w:t xml:space="preserve">para estudo de redução de arraste em tubulações circulares </w:t>
      </w:r>
      <w:r w:rsidRPr="004808D9">
        <w:rPr>
          <w:rFonts w:cs="Arial"/>
          <w:szCs w:val="24"/>
        </w:rPr>
        <w:t>elabor</w:t>
      </w:r>
      <w:r>
        <w:rPr>
          <w:rFonts w:cs="Arial"/>
          <w:szCs w:val="24"/>
        </w:rPr>
        <w:t xml:space="preserve">ado no </w:t>
      </w:r>
      <w:r w:rsidRPr="00867976">
        <w:rPr>
          <w:rFonts w:cs="Arial"/>
          <w:i/>
          <w:szCs w:val="24"/>
        </w:rPr>
        <w:t>software</w:t>
      </w:r>
      <w:r>
        <w:rPr>
          <w:rFonts w:cs="Arial"/>
          <w:szCs w:val="24"/>
        </w:rPr>
        <w:t xml:space="preserve"> LabView.</w:t>
      </w:r>
    </w:p>
    <w:p w:rsidR="009F2BD1" w:rsidRDefault="00320E34" w:rsidP="00093035">
      <w:pPr>
        <w:autoSpaceDE w:val="0"/>
        <w:autoSpaceDN w:val="0"/>
        <w:adjustRightInd w:val="0"/>
        <w:contextualSpacing w:val="0"/>
        <w:rPr>
          <w:rFonts w:cs="Arial"/>
          <w:szCs w:val="24"/>
        </w:rPr>
      </w:pPr>
      <w:r>
        <w:rPr>
          <w:rFonts w:cs="Arial"/>
          <w:szCs w:val="24"/>
        </w:rPr>
        <w:t>Devido à</w:t>
      </w:r>
      <w:r w:rsidR="00E44643">
        <w:rPr>
          <w:rFonts w:cs="Arial"/>
          <w:szCs w:val="24"/>
        </w:rPr>
        <w:t xml:space="preserve"> necessidade de aquisição de imagens para a medição da distribuição de velocidades através da técnica PIV,</w:t>
      </w:r>
      <w:r w:rsidR="009F2BD1">
        <w:rPr>
          <w:rFonts w:cs="Arial"/>
          <w:szCs w:val="24"/>
        </w:rPr>
        <w:t xml:space="preserve"> existe</w:t>
      </w:r>
      <w:r w:rsidR="007B51DB">
        <w:rPr>
          <w:rFonts w:cs="Arial"/>
          <w:szCs w:val="24"/>
        </w:rPr>
        <w:t xml:space="preserve"> </w:t>
      </w:r>
      <w:r w:rsidR="00BC6DC6">
        <w:rPr>
          <w:rFonts w:cs="Arial"/>
          <w:szCs w:val="24"/>
        </w:rPr>
        <w:t xml:space="preserve">(i) </w:t>
      </w:r>
      <w:r w:rsidR="007B51DB">
        <w:rPr>
          <w:rFonts w:cs="Arial"/>
          <w:szCs w:val="24"/>
        </w:rPr>
        <w:t xml:space="preserve">um trecho de tubulação em acrílico de </w:t>
      </w:r>
      <w:r w:rsidR="00BC6DC6">
        <w:rPr>
          <w:rFonts w:cs="Arial"/>
          <w:szCs w:val="24"/>
        </w:rPr>
        <w:t>¾”</w:t>
      </w:r>
      <w:r w:rsidR="00E44643">
        <w:rPr>
          <w:rFonts w:cs="Arial"/>
          <w:szCs w:val="24"/>
        </w:rPr>
        <w:t>,</w:t>
      </w:r>
      <w:r w:rsidR="00BC6DC6">
        <w:rPr>
          <w:rFonts w:cs="Arial"/>
          <w:szCs w:val="24"/>
        </w:rPr>
        <w:t xml:space="preserve"> com uma placa de orifício de 50% de obstrução</w:t>
      </w:r>
      <w:r w:rsidR="00E44643">
        <w:rPr>
          <w:rFonts w:cs="Arial"/>
          <w:szCs w:val="24"/>
        </w:rPr>
        <w:t>,</w:t>
      </w:r>
      <w:r w:rsidR="00BC6DC6">
        <w:rPr>
          <w:rFonts w:cs="Arial"/>
          <w:szCs w:val="24"/>
        </w:rPr>
        <w:t xml:space="preserve"> que adiciona perda de carga à tubulação do experimento</w:t>
      </w:r>
      <w:r w:rsidR="00E44643">
        <w:rPr>
          <w:rFonts w:cs="Arial"/>
          <w:szCs w:val="24"/>
        </w:rPr>
        <w:t xml:space="preserve">. A análise realizada com as imagens trarão uma noção do efeito dos aditivos no combate às vorticidades causadas pela perturbação que este acessório promove no </w:t>
      </w:r>
      <w:r>
        <w:rPr>
          <w:rFonts w:cs="Arial"/>
          <w:szCs w:val="24"/>
        </w:rPr>
        <w:t>escoamento</w:t>
      </w:r>
      <w:r w:rsidR="00E44643">
        <w:rPr>
          <w:rFonts w:cs="Arial"/>
          <w:szCs w:val="24"/>
        </w:rPr>
        <w:t>. Apesar de serem compostos por materiais diferente</w:t>
      </w:r>
      <w:r>
        <w:rPr>
          <w:rFonts w:cs="Arial"/>
          <w:szCs w:val="24"/>
        </w:rPr>
        <w:t>s</w:t>
      </w:r>
      <w:r w:rsidR="00E44643">
        <w:rPr>
          <w:rFonts w:cs="Arial"/>
          <w:szCs w:val="24"/>
        </w:rPr>
        <w:t xml:space="preserve">, a </w:t>
      </w:r>
      <w:r w:rsidR="00BC6DC6">
        <w:rPr>
          <w:rFonts w:cs="Arial"/>
          <w:szCs w:val="24"/>
        </w:rPr>
        <w:t xml:space="preserve">rugosidade deste tubo pode </w:t>
      </w:r>
      <w:r w:rsidR="009F2BD1">
        <w:rPr>
          <w:rFonts w:cs="Arial"/>
          <w:szCs w:val="24"/>
        </w:rPr>
        <w:t xml:space="preserve">ser considerada a mesma </w:t>
      </w:r>
      <w:r w:rsidR="00E44643">
        <w:rPr>
          <w:rFonts w:cs="Arial"/>
          <w:szCs w:val="24"/>
        </w:rPr>
        <w:t xml:space="preserve">atribuída às </w:t>
      </w:r>
      <w:r w:rsidR="009F2BD1">
        <w:rPr>
          <w:rFonts w:cs="Arial"/>
          <w:szCs w:val="24"/>
        </w:rPr>
        <w:t>tubulações de inox.</w:t>
      </w:r>
    </w:p>
    <w:p w:rsidR="00867976" w:rsidRPr="00867976" w:rsidRDefault="00867976" w:rsidP="00867976">
      <w:pPr>
        <w:autoSpaceDE w:val="0"/>
        <w:autoSpaceDN w:val="0"/>
        <w:adjustRightInd w:val="0"/>
        <w:spacing w:after="0"/>
        <w:contextualSpacing w:val="0"/>
        <w:jc w:val="left"/>
        <w:rPr>
          <w:rFonts w:cs="Arial"/>
          <w:sz w:val="20"/>
          <w:szCs w:val="24"/>
        </w:rPr>
      </w:pPr>
    </w:p>
    <w:p w:rsidR="00C630DD" w:rsidRDefault="005721A4" w:rsidP="007200F4">
      <w:pPr>
        <w:pStyle w:val="Nvel2-PG"/>
      </w:pPr>
      <w:bookmarkStart w:id="98" w:name="_Toc488678360"/>
      <w:r>
        <w:t>3.2 Descrição do ensaio</w:t>
      </w:r>
      <w:bookmarkEnd w:id="98"/>
    </w:p>
    <w:p w:rsidR="00C630DD" w:rsidRDefault="00C630DD" w:rsidP="00042813">
      <w:pPr>
        <w:autoSpaceDE w:val="0"/>
        <w:autoSpaceDN w:val="0"/>
        <w:adjustRightInd w:val="0"/>
        <w:contextualSpacing w:val="0"/>
        <w:rPr>
          <w:rFonts w:cs="Arial"/>
          <w:szCs w:val="24"/>
        </w:rPr>
      </w:pPr>
      <w:r>
        <w:rPr>
          <w:rFonts w:cs="Arial"/>
          <w:szCs w:val="24"/>
        </w:rPr>
        <w:t xml:space="preserve">Em busca da aquisição das variáveis necessárias para o cálculo de redução de arraste e economia de potência, a planta </w:t>
      </w:r>
      <w:r w:rsidR="00066206">
        <w:rPr>
          <w:rFonts w:cs="Arial"/>
          <w:szCs w:val="24"/>
        </w:rPr>
        <w:t xml:space="preserve">de recirculação </w:t>
      </w:r>
      <w:r>
        <w:rPr>
          <w:rFonts w:cs="Arial"/>
          <w:szCs w:val="24"/>
        </w:rPr>
        <w:t>utilizada deve realizar o escoamento do fluido de estudo por u</w:t>
      </w:r>
      <w:r w:rsidR="00320E34">
        <w:rPr>
          <w:rFonts w:cs="Arial"/>
          <w:szCs w:val="24"/>
        </w:rPr>
        <w:t>ma tubulação circular munida da instrumentação para monitoramento e controle das variáveis do processo, tais como</w:t>
      </w:r>
      <w:r>
        <w:rPr>
          <w:rFonts w:cs="Arial"/>
          <w:szCs w:val="24"/>
        </w:rPr>
        <w:t xml:space="preserve"> pressão, temperatura, vazão, potência ativa, </w:t>
      </w:r>
      <w:r w:rsidR="00066206">
        <w:rPr>
          <w:rFonts w:cs="Arial"/>
          <w:szCs w:val="24"/>
        </w:rPr>
        <w:t>Reynolds, tempo, frequênci</w:t>
      </w:r>
      <w:r w:rsidR="00754585">
        <w:rPr>
          <w:rFonts w:cs="Arial"/>
          <w:szCs w:val="24"/>
        </w:rPr>
        <w:t>a, fator de potência e rotação.</w:t>
      </w:r>
    </w:p>
    <w:p w:rsidR="007200F4" w:rsidRDefault="007200F4" w:rsidP="0093786C">
      <w:pPr>
        <w:autoSpaceDE w:val="0"/>
        <w:autoSpaceDN w:val="0"/>
        <w:adjustRightInd w:val="0"/>
        <w:contextualSpacing w:val="0"/>
        <w:rPr>
          <w:rFonts w:cs="Arial"/>
          <w:szCs w:val="24"/>
        </w:rPr>
      </w:pPr>
    </w:p>
    <w:p w:rsidR="005721A4" w:rsidRPr="003F4B46" w:rsidRDefault="005721A4" w:rsidP="0093786C">
      <w:pPr>
        <w:pStyle w:val="Nvel3-PG"/>
        <w:jc w:val="both"/>
      </w:pPr>
      <w:bookmarkStart w:id="99" w:name="_Toc488678361"/>
      <w:r w:rsidRPr="003F4B46">
        <w:t>3.2.1 Preparação da planta</w:t>
      </w:r>
      <w:bookmarkEnd w:id="99"/>
    </w:p>
    <w:p w:rsidR="008017B9" w:rsidRDefault="0093786C" w:rsidP="00C75E31">
      <w:r w:rsidRPr="003F4B46">
        <w:t xml:space="preserve">Incialmente, </w:t>
      </w:r>
      <w:r w:rsidR="00CC3C7A" w:rsidRPr="003F4B46">
        <w:t xml:space="preserve">o reservatório e </w:t>
      </w:r>
      <w:r w:rsidRPr="003F4B46">
        <w:t xml:space="preserve">a tubulação </w:t>
      </w:r>
      <w:r w:rsidR="00FF56C3" w:rsidRPr="003F4B46">
        <w:t>deve</w:t>
      </w:r>
      <w:r w:rsidR="00CC3C7A" w:rsidRPr="003F4B46">
        <w:t xml:space="preserve">m </w:t>
      </w:r>
      <w:r w:rsidR="00CC07CA" w:rsidRPr="003F4B46">
        <w:t>estar isentos de fluido</w:t>
      </w:r>
      <w:r w:rsidR="00CC3C7A" w:rsidRPr="003F4B46">
        <w:t>.</w:t>
      </w:r>
      <w:r w:rsidR="00FF56C3" w:rsidRPr="003F4B46">
        <w:t xml:space="preserve"> P</w:t>
      </w:r>
      <w:r w:rsidRPr="003F4B46">
        <w:t>ara isso</w:t>
      </w:r>
      <w:r w:rsidR="00CC3C7A" w:rsidRPr="003F4B46">
        <w:t>,</w:t>
      </w:r>
      <w:r w:rsidRPr="003F4B46">
        <w:t xml:space="preserve"> foi instalado um dreno no reservatório</w:t>
      </w:r>
      <w:r w:rsidR="00EC000A" w:rsidRPr="003F4B46">
        <w:t xml:space="preserve">. </w:t>
      </w:r>
      <w:r w:rsidR="00CC07CA" w:rsidRPr="003F4B46">
        <w:t>Para limpeza inicial, o reservatório é preenchido</w:t>
      </w:r>
      <w:r w:rsidR="00EC000A" w:rsidRPr="003F4B46">
        <w:t xml:space="preserve"> com um volume de água suficiente para diluir e lavar os resíduos que podem estar contidos no interior da planta. </w:t>
      </w:r>
      <w:r w:rsidR="00B27944" w:rsidRPr="003F4B46">
        <w:t>Este fluido é novamente drenado e o</w:t>
      </w:r>
      <w:r w:rsidR="00EC000A" w:rsidRPr="003F4B46">
        <w:t xml:space="preserve"> </w:t>
      </w:r>
      <w:r w:rsidR="00CC07CA" w:rsidRPr="003F4B46">
        <w:t>reservatório é limpo</w:t>
      </w:r>
      <w:r w:rsidR="00F35E2F" w:rsidRPr="003F4B46">
        <w:t>. Com a planta e reservatório limpos, são adicionados 100 litros de solvente (água)</w:t>
      </w:r>
      <w:r w:rsidR="00CC3C7A" w:rsidRPr="003F4B46">
        <w:t>,</w:t>
      </w:r>
      <w:r w:rsidR="008017B9" w:rsidRPr="003F4B46">
        <w:t xml:space="preserve"> pesados por meio de uma balança </w:t>
      </w:r>
      <w:r w:rsidR="00EF4136" w:rsidRPr="003F4B46">
        <w:t xml:space="preserve">TRIUNFO modelo </w:t>
      </w:r>
      <w:r w:rsidR="008017B9" w:rsidRPr="003F4B46">
        <w:t>PLT 60-150</w:t>
      </w:r>
      <w:r w:rsidR="00042813" w:rsidRPr="003F4B46">
        <w:t>,</w:t>
      </w:r>
      <w:r w:rsidRPr="003F4B46">
        <w:t xml:space="preserve"> para a garantia do pre</w:t>
      </w:r>
      <w:r w:rsidR="008017B9" w:rsidRPr="003F4B46">
        <w:t xml:space="preserve">enchimento com o volume correto. </w:t>
      </w:r>
      <w:r w:rsidR="00E84A54" w:rsidRPr="003F4B46">
        <w:t>Posteriormente</w:t>
      </w:r>
      <w:r w:rsidR="00CC3C7A" w:rsidRPr="003F4B46">
        <w:t>,</w:t>
      </w:r>
      <w:r w:rsidR="00E84A54" w:rsidRPr="003F4B46">
        <w:t xml:space="preserve"> o</w:t>
      </w:r>
      <w:r w:rsidR="00EF4136" w:rsidRPr="003F4B46">
        <w:t xml:space="preserve"> chiller é iniciado a uma temperatura inferior a requerida (T=20ºC) para que a solução atinja a temperatura desejada quando a solução concentrada for adicionada. </w:t>
      </w:r>
    </w:p>
    <w:p w:rsidR="005721A4" w:rsidRPr="003F4B46" w:rsidRDefault="00EF4136" w:rsidP="0093786C">
      <w:pPr>
        <w:pStyle w:val="Nvel3-PG"/>
        <w:jc w:val="both"/>
      </w:pPr>
      <w:bookmarkStart w:id="100" w:name="_Toc488678362"/>
      <w:r w:rsidRPr="003F4B46">
        <w:lastRenderedPageBreak/>
        <w:t>3.2.2</w:t>
      </w:r>
      <w:r w:rsidR="005721A4" w:rsidRPr="003F4B46">
        <w:t xml:space="preserve"> Preparação da solução</w:t>
      </w:r>
      <w:bookmarkEnd w:id="100"/>
    </w:p>
    <w:p w:rsidR="00F7071F" w:rsidRPr="003F4B46" w:rsidRDefault="00D81A93" w:rsidP="00C75E31">
      <w:r w:rsidRPr="003F4B46">
        <w:t>As soluções de Goma Guar e PEO foram preparadas com base em adaptações no procedimento e na análise realizadas por Silva [</w:t>
      </w:r>
      <w:r w:rsidR="003F4B46" w:rsidRPr="003F4B46">
        <w:t>26</w:t>
      </w:r>
      <w:r w:rsidRPr="003F4B46">
        <w:t>]. O polímero a ser experimentado foi pesado em uma balança analítica e, após determinada a quantidade de aditivo para o experimento em questão, este era polvilhado cuidadosamente sobre a superfície de água em um recipiente graduado com capacidade de 50 litros parcialmente cheio. Após vertido o polímero, o volume do reservatório é completado até a sua capacidade. O intuito de se adicionar mais água sobre o polímero é o de molhar as moléculas do polímero, fazendo com que estes sejam mais facilmente dissolvidos.</w:t>
      </w:r>
      <w:r w:rsidR="00F7071F" w:rsidRPr="003F4B46">
        <w:t xml:space="preserve"> A água utilizada foi a de torneira, pois de acordo com Costalonga [</w:t>
      </w:r>
      <w:r w:rsidR="003F4B46" w:rsidRPr="003F4B46">
        <w:t>36</w:t>
      </w:r>
      <w:r w:rsidR="00F7071F" w:rsidRPr="003F4B46">
        <w:t xml:space="preserve">], </w:t>
      </w:r>
      <w:r w:rsidR="0017609F" w:rsidRPr="003F4B46">
        <w:t xml:space="preserve">uma vez que </w:t>
      </w:r>
      <w:r w:rsidR="008077A6" w:rsidRPr="003F4B46">
        <w:t>o princípio de medição do medidor de vazão (</w:t>
      </w:r>
      <w:r w:rsidR="008077A6" w:rsidRPr="003F4B46">
        <w:rPr>
          <w:i/>
        </w:rPr>
        <w:t>eletromagnético</w:t>
      </w:r>
      <w:r w:rsidR="008077A6" w:rsidRPr="003F4B46">
        <w:t>)</w:t>
      </w:r>
      <w:r w:rsidR="008077A6">
        <w:t xml:space="preserve"> </w:t>
      </w:r>
      <w:r w:rsidR="0017609F" w:rsidRPr="003F4B46">
        <w:t>depe</w:t>
      </w:r>
      <w:r w:rsidR="008077A6">
        <w:t>nde da condutividade do fluido,</w:t>
      </w:r>
      <w:r w:rsidR="0017609F" w:rsidRPr="003F4B46">
        <w:t xml:space="preserve"> a </w:t>
      </w:r>
      <w:r w:rsidR="008077A6">
        <w:t xml:space="preserve">ausência de </w:t>
      </w:r>
      <w:r w:rsidR="0017609F" w:rsidRPr="003F4B46">
        <w:t>íons livres que poderiam interagir com o polímero</w:t>
      </w:r>
      <w:r w:rsidR="008077A6">
        <w:t xml:space="preserve"> dificulta torna menos propícia a utilização de </w:t>
      </w:r>
      <w:r w:rsidR="008077A6" w:rsidRPr="003F4B46">
        <w:t>água deionizada</w:t>
      </w:r>
      <w:r w:rsidR="0017609F" w:rsidRPr="003F4B46">
        <w:t>.</w:t>
      </w:r>
      <w:r w:rsidR="00B25143">
        <w:t xml:space="preserve"> Contudo, o </w:t>
      </w:r>
      <w:r w:rsidR="00B25143" w:rsidRPr="003F4B46">
        <w:t xml:space="preserve">fenômeno é menos evidente </w:t>
      </w:r>
      <w:r w:rsidR="00503994">
        <w:t xml:space="preserve">em água de torneira se </w:t>
      </w:r>
      <w:r w:rsidR="00B25143" w:rsidRPr="003F4B46">
        <w:t>co</w:t>
      </w:r>
      <w:r w:rsidR="00B25143">
        <w:t>mparado à água deionizada.</w:t>
      </w:r>
    </w:p>
    <w:p w:rsidR="00042813" w:rsidRPr="003F4B46" w:rsidRDefault="00042813" w:rsidP="00C75E31">
      <w:r w:rsidRPr="003F4B46">
        <w:t>A</w:t>
      </w:r>
      <w:r w:rsidR="00754585" w:rsidRPr="003F4B46">
        <w:t xml:space="preserve">pós a preparação, </w:t>
      </w:r>
      <w:r w:rsidR="0017609F" w:rsidRPr="003F4B46">
        <w:t>a</w:t>
      </w:r>
      <w:r w:rsidRPr="003F4B46">
        <w:t xml:space="preserve"> </w:t>
      </w:r>
      <w:r w:rsidR="00D81A93" w:rsidRPr="003F4B46">
        <w:t>solução</w:t>
      </w:r>
      <w:r w:rsidRPr="003F4B46">
        <w:t xml:space="preserve"> </w:t>
      </w:r>
      <w:r w:rsidR="00D81A93" w:rsidRPr="003F4B46">
        <w:t>então</w:t>
      </w:r>
      <w:r w:rsidR="0017609F" w:rsidRPr="003F4B46">
        <w:t xml:space="preserve"> foi </w:t>
      </w:r>
      <w:r w:rsidR="00754585" w:rsidRPr="003F4B46">
        <w:t xml:space="preserve">completamente vedada </w:t>
      </w:r>
      <w:r w:rsidR="0017609F" w:rsidRPr="003F4B46">
        <w:t>e mantida à</w:t>
      </w:r>
      <w:r w:rsidRPr="003F4B46">
        <w:t xml:space="preserve"> </w:t>
      </w:r>
      <w:r w:rsidR="0017609F" w:rsidRPr="003F4B46">
        <w:t xml:space="preserve">temperatura ambiente (cerca de 20 ºC) e </w:t>
      </w:r>
      <w:r w:rsidRPr="003F4B46">
        <w:t>deixada em repo</w:t>
      </w:r>
      <w:r w:rsidR="00754585" w:rsidRPr="003F4B46">
        <w:t>uso por um período que varia entre 48 e 72</w:t>
      </w:r>
      <w:r w:rsidRPr="003F4B46">
        <w:t xml:space="preserve"> horas</w:t>
      </w:r>
      <w:r w:rsidR="00754585" w:rsidRPr="003F4B46">
        <w:t>,</w:t>
      </w:r>
      <w:r w:rsidRPr="003F4B46">
        <w:t xml:space="preserve"> para que o </w:t>
      </w:r>
      <w:r w:rsidR="00D81A93" w:rsidRPr="003F4B46">
        <w:t>polímero</w:t>
      </w:r>
      <w:r w:rsidRPr="003F4B46">
        <w:t xml:space="preserve"> pudesse</w:t>
      </w:r>
      <w:r w:rsidR="00754585" w:rsidRPr="003F4B46">
        <w:t xml:space="preserve"> se difundir completamente</w:t>
      </w:r>
      <w:r w:rsidRPr="003F4B46">
        <w:t xml:space="preserve"> no</w:t>
      </w:r>
      <w:r w:rsidR="00754585" w:rsidRPr="003F4B46">
        <w:t xml:space="preserve"> recipiente. Vale ressaltar que para a validação do</w:t>
      </w:r>
      <w:r w:rsidRPr="003F4B46">
        <w:t xml:space="preserve"> procedimento descrito </w:t>
      </w:r>
      <w:r w:rsidR="00754585" w:rsidRPr="003F4B46">
        <w:t xml:space="preserve">de </w:t>
      </w:r>
      <w:r w:rsidRPr="003F4B46">
        <w:t xml:space="preserve">difusão das amostras, um conjunto de testes foi realizado </w:t>
      </w:r>
      <w:r w:rsidR="00754585" w:rsidRPr="003F4B46">
        <w:t xml:space="preserve">por [30], </w:t>
      </w:r>
      <w:r w:rsidRPr="003F4B46">
        <w:t xml:space="preserve">com o intuito de observar o efeito de agentes externos na </w:t>
      </w:r>
      <w:r w:rsidR="00754585" w:rsidRPr="003F4B46">
        <w:t>solução, como por exemplo bacté</w:t>
      </w:r>
      <w:r w:rsidRPr="003F4B46">
        <w:t xml:space="preserve">rias. </w:t>
      </w:r>
    </w:p>
    <w:p w:rsidR="00132082" w:rsidRPr="003F4B46" w:rsidRDefault="00132082" w:rsidP="00C75E31"/>
    <w:p w:rsidR="00777B76" w:rsidRPr="003F4B46" w:rsidRDefault="00132082" w:rsidP="00777B76">
      <w:pPr>
        <w:pStyle w:val="Nvel4-PG"/>
      </w:pPr>
      <w:bookmarkStart w:id="101" w:name="_Toc488678363"/>
      <w:r w:rsidRPr="003F4B46">
        <w:t>3.2.2.1 Preparação de Blends</w:t>
      </w:r>
      <w:bookmarkEnd w:id="101"/>
    </w:p>
    <w:p w:rsidR="002434CC" w:rsidRPr="00912C96" w:rsidRDefault="00BC6260" w:rsidP="00C75E31">
      <w:r>
        <w:t xml:space="preserve">A preparação dos </w:t>
      </w:r>
      <w:r w:rsidRPr="00BC6260">
        <w:rPr>
          <w:i/>
        </w:rPr>
        <w:t>blends</w:t>
      </w:r>
      <w:r w:rsidR="00912C96">
        <w:t xml:space="preserve"> foi realizada por meio da mistura de ambos os polímeros (PEO e Goma Guar) ainda em pó. Em seguida, a mistura era cuidadosamente adicionada a superfície de água do recipiente graduado utilizado para a preparação das demais soluções. </w:t>
      </w:r>
      <w:r w:rsidR="001E028A">
        <w:t xml:space="preserve">Após </w:t>
      </w:r>
      <w:r w:rsidR="00FF6648">
        <w:t xml:space="preserve">a preparação, o recipiente fora devidamente fechado e </w:t>
      </w:r>
      <w:r w:rsidR="001E028A">
        <w:t xml:space="preserve">esta solução concentrada foi deixada </w:t>
      </w:r>
      <w:r w:rsidR="00FF6648">
        <w:t xml:space="preserve">em descando por um período médio de 72h, similar ao que </w:t>
      </w:r>
      <w:r w:rsidR="001E028A">
        <w:t xml:space="preserve">indica Eichelberger </w:t>
      </w:r>
      <w:r w:rsidR="00912C96">
        <w:t>[34]</w:t>
      </w:r>
      <w:r w:rsidR="001E028A">
        <w:t>, que realizara este procedimento para impedir a ocorrência de cisalhamento e a consequente degradação polimérica de forma prematura.</w:t>
      </w:r>
    </w:p>
    <w:p w:rsidR="00777B76" w:rsidRDefault="00777B76" w:rsidP="00C75E31"/>
    <w:p w:rsidR="00FF6648" w:rsidRDefault="00FF6648" w:rsidP="00C75E31"/>
    <w:p w:rsidR="00FF6648" w:rsidRPr="003F4B46" w:rsidRDefault="00FF6648" w:rsidP="00C75E31"/>
    <w:p w:rsidR="00754585" w:rsidRPr="003F4B46" w:rsidRDefault="00754585" w:rsidP="0093786C">
      <w:pPr>
        <w:pStyle w:val="Nvel3-PG"/>
        <w:jc w:val="both"/>
      </w:pPr>
      <w:bookmarkStart w:id="102" w:name="_Toc488678364"/>
      <w:r w:rsidRPr="003F4B46">
        <w:lastRenderedPageBreak/>
        <w:t>3.2.3 Caracterização da solução</w:t>
      </w:r>
      <w:bookmarkEnd w:id="102"/>
    </w:p>
    <w:p w:rsidR="00754585" w:rsidRPr="003F4B46" w:rsidRDefault="00754585" w:rsidP="00754585">
      <w:pPr>
        <w:autoSpaceDE w:val="0"/>
        <w:autoSpaceDN w:val="0"/>
        <w:adjustRightInd w:val="0"/>
        <w:contextualSpacing w:val="0"/>
        <w:rPr>
          <w:rFonts w:cs="Arial"/>
          <w:szCs w:val="24"/>
        </w:rPr>
      </w:pPr>
      <w:r w:rsidRPr="003F4B46">
        <w:rPr>
          <w:rFonts w:cs="Arial"/>
          <w:szCs w:val="24"/>
        </w:rPr>
        <w:t>Para a caracterização das amostras, uma amostra de cada teste realizado é coletada e suas propriedades reológicas são obtidas por meio de um Reômetro HAAKE modelo MARS 3 com geometria rotativa formada por cilindros concêntricos com dupla folga (</w:t>
      </w:r>
      <w:r w:rsidRPr="003F4B46">
        <w:rPr>
          <w:rFonts w:cs="Arial"/>
          <w:i/>
          <w:szCs w:val="24"/>
        </w:rPr>
        <w:t>Standard Double Gap</w:t>
      </w:r>
      <w:r w:rsidRPr="003F4B46">
        <w:rPr>
          <w:rFonts w:cs="Arial"/>
          <w:szCs w:val="24"/>
        </w:rPr>
        <w:t>), semelhante a utilizada por Silva [</w:t>
      </w:r>
      <w:r w:rsidR="003F4B46" w:rsidRPr="003F4B46">
        <w:rPr>
          <w:rFonts w:cs="Arial"/>
          <w:szCs w:val="24"/>
        </w:rPr>
        <w:t>26</w:t>
      </w:r>
      <w:r w:rsidRPr="003F4B46">
        <w:rPr>
          <w:rFonts w:cs="Arial"/>
          <w:szCs w:val="24"/>
        </w:rPr>
        <w:t xml:space="preserve">], Bizotto e Sabadini </w:t>
      </w:r>
      <w:r w:rsidR="003F4B46" w:rsidRPr="003F4B46">
        <w:rPr>
          <w:rFonts w:cs="Arial"/>
          <w:szCs w:val="24"/>
        </w:rPr>
        <w:t>[2</w:t>
      </w:r>
      <w:r w:rsidRPr="003F4B46">
        <w:rPr>
          <w:rFonts w:cs="Arial"/>
          <w:szCs w:val="24"/>
        </w:rPr>
        <w:t>].</w:t>
      </w:r>
    </w:p>
    <w:p w:rsidR="00754585" w:rsidRDefault="00754585" w:rsidP="0093786C">
      <w:pPr>
        <w:pStyle w:val="Nvel3-PG"/>
        <w:jc w:val="both"/>
      </w:pPr>
    </w:p>
    <w:p w:rsidR="00C630DD" w:rsidRDefault="00C630DD" w:rsidP="0093786C">
      <w:pPr>
        <w:pStyle w:val="Nvel3-PG"/>
        <w:jc w:val="both"/>
      </w:pPr>
      <w:bookmarkStart w:id="103" w:name="_Toc488678365"/>
      <w:r>
        <w:t>3.2.4 Execução do experimento</w:t>
      </w:r>
      <w:bookmarkEnd w:id="103"/>
    </w:p>
    <w:p w:rsidR="005C3C05" w:rsidRDefault="008C2AA5" w:rsidP="00F30DA0">
      <w:r>
        <w:t xml:space="preserve">Para dar início ao teste, </w:t>
      </w:r>
      <w:r w:rsidR="00646BC6">
        <w:t>antes de se adicionar a solução concentrada ao solvente a</w:t>
      </w:r>
      <w:r w:rsidR="00502BD9">
        <w:t>bastecido no reservatório, deve-</w:t>
      </w:r>
      <w:r w:rsidR="00646BC6">
        <w:t>se</w:t>
      </w:r>
      <w:r w:rsidR="00022ADB">
        <w:t xml:space="preserve"> observar s</w:t>
      </w:r>
      <w:r w:rsidR="008645B0">
        <w:t xml:space="preserve">e todas as bombas estão </w:t>
      </w:r>
      <w:r w:rsidR="00042813">
        <w:t xml:space="preserve">em </w:t>
      </w:r>
      <w:r w:rsidR="00042813" w:rsidRPr="00042813">
        <w:rPr>
          <w:i/>
        </w:rPr>
        <w:t>stand-by</w:t>
      </w:r>
      <w:r w:rsidR="008645B0">
        <w:t xml:space="preserve">, o chiller em funcionamento e </w:t>
      </w:r>
      <w:r w:rsidR="00022ADB">
        <w:t>os te</w:t>
      </w:r>
      <w:r w:rsidR="008645B0">
        <w:t>rmopares mergulhados no fluido e, então,</w:t>
      </w:r>
      <w:r w:rsidR="00646BC6">
        <w:t xml:space="preserve"> abrir o supervisório no computador em modo manual,</w:t>
      </w:r>
      <w:r w:rsidR="00B64E43" w:rsidRPr="00B64E43">
        <w:t xml:space="preserve"> </w:t>
      </w:r>
      <w:r w:rsidR="00B64E43">
        <w:t>selecionar a opção de salvar dados para se obter o</w:t>
      </w:r>
      <w:r w:rsidR="001302CB">
        <w:t>s dados de pressão estática informados pel</w:t>
      </w:r>
      <w:r w:rsidR="00B64E43">
        <w:t>os transdutores de pressão</w:t>
      </w:r>
      <w:r w:rsidR="001302CB">
        <w:t xml:space="preserve"> sem escoamento</w:t>
      </w:r>
      <w:r w:rsidR="001302CB">
        <w:rPr>
          <w:i/>
        </w:rPr>
        <w:t>,</w:t>
      </w:r>
      <w:r w:rsidR="00646BC6">
        <w:t xml:space="preserve"> abrir </w:t>
      </w:r>
      <w:r>
        <w:t>as</w:t>
      </w:r>
      <w:r w:rsidR="00646BC6">
        <w:t xml:space="preserve"> válvulas, escolher a </w:t>
      </w:r>
      <w:r w:rsidR="00B64E43">
        <w:t xml:space="preserve">vazão correspondente ao ensaio </w:t>
      </w:r>
      <w:r w:rsidR="008645B0">
        <w:t>e</w:t>
      </w:r>
      <w:r w:rsidR="00B64E43">
        <w:t xml:space="preserve"> acionar a</w:t>
      </w:r>
      <w:r w:rsidR="008645B0">
        <w:t>s bombas. Os primeiros minutos de aquisição de dados tem o intuito de se controlar a temperatura do fluido no reservatório e coletar as informações de potência ativa para o solvente puro. Somente então é despejad</w:t>
      </w:r>
      <w:r w:rsidR="00B64E43">
        <w:t>a</w:t>
      </w:r>
      <w:r w:rsidR="008645B0">
        <w:t xml:space="preserve"> a solução </w:t>
      </w:r>
      <w:r w:rsidR="00B64E43">
        <w:t xml:space="preserve">concentrada </w:t>
      </w:r>
      <w:r w:rsidR="00CC07CA">
        <w:t>d</w:t>
      </w:r>
      <w:r w:rsidR="00B64E43">
        <w:t>a bombona</w:t>
      </w:r>
      <w:r w:rsidR="00C84AA7">
        <w:t xml:space="preserve"> de 50 litros aos 100 litros de água presentes no reservatório à montante das bombas</w:t>
      </w:r>
      <w:r w:rsidR="00B64E43">
        <w:t xml:space="preserve">. </w:t>
      </w:r>
      <w:r w:rsidR="00502BD9">
        <w:t xml:space="preserve">A temperatura deve ser novamente analisada de forma a se manter próxima a temperatura requerida. </w:t>
      </w:r>
      <w:r w:rsidR="00B64E43">
        <w:t xml:space="preserve">A partir do momento em que a solução concentrada é adicionada </w:t>
      </w:r>
      <w:r w:rsidR="00CC3C7A">
        <w:t>ao reservatório</w:t>
      </w:r>
      <w:r w:rsidR="00502BD9">
        <w:t>,</w:t>
      </w:r>
      <w:r w:rsidR="00CC3C7A">
        <w:t xml:space="preserve"> </w:t>
      </w:r>
      <w:r w:rsidR="00B64E43">
        <w:t xml:space="preserve">o experimento deve </w:t>
      </w:r>
      <w:r w:rsidR="00CC3C7A">
        <w:t>funcionar durante um período de seis horas.</w:t>
      </w:r>
      <w:r w:rsidR="005C3C05">
        <w:t xml:space="preserve"> </w:t>
      </w:r>
    </w:p>
    <w:p w:rsidR="00EF4136" w:rsidRPr="0024372A" w:rsidRDefault="00EF4136" w:rsidP="0093786C">
      <w:pPr>
        <w:pStyle w:val="Nvel3-PG"/>
        <w:jc w:val="both"/>
      </w:pPr>
    </w:p>
    <w:p w:rsidR="006229CA" w:rsidRPr="007B4849" w:rsidRDefault="00984DD7" w:rsidP="001302CB">
      <w:pPr>
        <w:pStyle w:val="Nvel2-PG"/>
        <w:jc w:val="both"/>
      </w:pPr>
      <w:bookmarkStart w:id="104" w:name="_Toc488678366"/>
      <w:r w:rsidRPr="007B4849">
        <w:t>3.</w:t>
      </w:r>
      <w:r w:rsidR="00F9101E">
        <w:t xml:space="preserve">3 </w:t>
      </w:r>
      <w:r w:rsidR="001302CB">
        <w:t>Cálculo do fator de atrito e redução de arraste (</w:t>
      </w:r>
      <w:r w:rsidR="00B81D94">
        <w:t>DR%</w:t>
      </w:r>
      <w:r w:rsidR="001302CB">
        <w:t>)</w:t>
      </w:r>
      <w:bookmarkEnd w:id="104"/>
    </w:p>
    <w:p w:rsidR="00A2236F" w:rsidRDefault="001302CB" w:rsidP="001302CB">
      <w:r>
        <w:t>Os dados de queda de pressão nos transdutores devem ser descontados dos dados de pressões estática</w:t>
      </w:r>
      <w:r w:rsidR="00EC539A">
        <w:t>s</w:t>
      </w:r>
      <w:r>
        <w:t xml:space="preserve"> medidas pelo</w:t>
      </w:r>
      <w:r w:rsidR="00EC539A">
        <w:t>s</w:t>
      </w:r>
      <w:r>
        <w:t xml:space="preserve"> transdutor</w:t>
      </w:r>
      <w:r w:rsidR="00EC539A">
        <w:t>es</w:t>
      </w:r>
      <w:r>
        <w:t xml:space="preserve"> quando não há escoamento, esta é a correção de </w:t>
      </w:r>
      <w:r w:rsidRPr="001302CB">
        <w:rPr>
          <w:i/>
        </w:rPr>
        <w:t>background</w:t>
      </w:r>
      <w:r>
        <w:t xml:space="preserve">. Com estes dados corrigidos, é possível calcular o fator de atrito experimental por meio </w:t>
      </w:r>
      <w:r w:rsidRPr="001144AF">
        <w:t xml:space="preserve">da </w:t>
      </w:r>
      <w:r w:rsidR="003B3577" w:rsidRPr="001144AF">
        <w:fldChar w:fldCharType="begin"/>
      </w:r>
      <w:r w:rsidR="003B3577" w:rsidRPr="001144AF">
        <w:instrText xml:space="preserve"> REF _Ref488098501 \h </w:instrText>
      </w:r>
      <w:r w:rsidR="003B3577" w:rsidRPr="001144AF">
        <w:fldChar w:fldCharType="separate"/>
      </w:r>
      <w:r w:rsidR="00380A8E" w:rsidRPr="001144AF">
        <w:t xml:space="preserve">Equação </w:t>
      </w:r>
      <w:r w:rsidR="00380A8E" w:rsidRPr="001144AF">
        <w:rPr>
          <w:noProof/>
        </w:rPr>
        <w:t>18</w:t>
      </w:r>
      <w:r w:rsidR="003B3577" w:rsidRPr="001144AF">
        <w:fldChar w:fldCharType="end"/>
      </w:r>
      <w:r w:rsidR="00A2236F">
        <w:t>.</w:t>
      </w:r>
    </w:p>
    <w:tbl>
      <w:tblPr>
        <w:tblStyle w:val="Tabelacomgrade"/>
        <w:tblW w:w="0" w:type="auto"/>
        <w:tblCellMar>
          <w:left w:w="0" w:type="dxa"/>
          <w:right w:w="0" w:type="dxa"/>
        </w:tblCellMar>
        <w:tblLook w:val="04A0" w:firstRow="1" w:lastRow="0" w:firstColumn="1" w:lastColumn="0" w:noHBand="0" w:noVBand="1"/>
      </w:tblPr>
      <w:tblGrid>
        <w:gridCol w:w="8395"/>
        <w:gridCol w:w="676"/>
      </w:tblGrid>
      <w:tr w:rsidR="003B3577" w:rsidRPr="0022508E" w:rsidTr="003B7E6D">
        <w:tc>
          <w:tcPr>
            <w:tcW w:w="8395" w:type="dxa"/>
            <w:tcBorders>
              <w:top w:val="nil"/>
              <w:left w:val="nil"/>
              <w:bottom w:val="nil"/>
              <w:right w:val="nil"/>
            </w:tcBorders>
            <w:vAlign w:val="center"/>
          </w:tcPr>
          <w:p w:rsidR="003B3577" w:rsidRPr="0022508E" w:rsidRDefault="003B3577" w:rsidP="003B7E6D">
            <w:pPr>
              <w:spacing w:after="0" w:line="240" w:lineRule="auto"/>
              <w:rPr>
                <w:rFonts w:ascii="Cambria Math" w:hAnsi="Cambria Math"/>
                <w:i/>
                <w:iCs/>
              </w:rPr>
            </w:pPr>
            <m:oMathPara>
              <m:oMath>
                <m:r>
                  <w:rPr>
                    <w:rFonts w:ascii="Cambria Math" w:hAnsi="Cambria Math"/>
                  </w:rPr>
                  <m:t>f=</m:t>
                </m:r>
                <m:f>
                  <m:fPr>
                    <m:ctrlPr>
                      <w:rPr>
                        <w:rFonts w:ascii="Cambria Math" w:hAnsi="Cambria Math"/>
                        <w:i/>
                        <w:iCs/>
                      </w:rPr>
                    </m:ctrlPr>
                  </m:fPr>
                  <m:num>
                    <m:sSup>
                      <m:sSupPr>
                        <m:ctrlPr>
                          <w:rPr>
                            <w:rFonts w:ascii="Cambria Math" w:hAnsi="Cambria Math"/>
                            <w:i/>
                            <w:iCs/>
                          </w:rPr>
                        </m:ctrlPr>
                      </m:sSupPr>
                      <m:e>
                        <m:r>
                          <w:rPr>
                            <w:rFonts w:ascii="Cambria Math" w:hAnsi="Cambria Math"/>
                          </w:rPr>
                          <m:t>D</m:t>
                        </m:r>
                      </m:e>
                      <m:sup>
                        <m:r>
                          <w:rPr>
                            <w:rFonts w:ascii="Cambria Math" w:hAnsi="Cambria Math"/>
                          </w:rPr>
                          <m:t>5</m:t>
                        </m:r>
                      </m:sup>
                    </m:sSup>
                    <m:d>
                      <m:dPr>
                        <m:ctrlPr>
                          <w:rPr>
                            <w:rFonts w:ascii="Cambria Math" w:hAnsi="Cambria Math"/>
                            <w:i/>
                            <w:iCs/>
                          </w:rPr>
                        </m:ctrlPr>
                      </m:dPr>
                      <m:e>
                        <m:f>
                          <m:fPr>
                            <m:type m:val="lin"/>
                            <m:ctrlPr>
                              <w:rPr>
                                <w:rFonts w:ascii="Cambria Math" w:hAnsi="Cambria Math"/>
                                <w:i/>
                                <w:iCs/>
                              </w:rPr>
                            </m:ctrlPr>
                          </m:fPr>
                          <m:num>
                            <m:r>
                              <w:rPr>
                                <w:rFonts w:ascii="Cambria Math" w:hAnsi="Cambria Math"/>
                              </w:rPr>
                              <m:t>∆p</m:t>
                            </m:r>
                          </m:num>
                          <m:den>
                            <m:r>
                              <w:rPr>
                                <w:rFonts w:ascii="Cambria Math" w:hAnsi="Cambria Math"/>
                              </w:rPr>
                              <m:t>L</m:t>
                            </m:r>
                          </m:den>
                        </m:f>
                      </m:e>
                    </m:d>
                    <m:sSup>
                      <m:sSupPr>
                        <m:ctrlPr>
                          <w:rPr>
                            <w:rFonts w:ascii="Cambria Math" w:hAnsi="Cambria Math"/>
                            <w:i/>
                            <w:iCs/>
                          </w:rPr>
                        </m:ctrlPr>
                      </m:sSupPr>
                      <m:e>
                        <m:r>
                          <w:rPr>
                            <w:rFonts w:ascii="Cambria Math" w:hAnsi="Cambria Math"/>
                          </w:rPr>
                          <m:t>π</m:t>
                        </m:r>
                      </m:e>
                      <m:sup>
                        <m:r>
                          <w:rPr>
                            <w:rFonts w:ascii="Cambria Math" w:hAnsi="Cambria Math"/>
                          </w:rPr>
                          <m:t>2</m:t>
                        </m:r>
                      </m:sup>
                    </m:sSup>
                  </m:num>
                  <m:den>
                    <m:r>
                      <w:rPr>
                        <w:rFonts w:ascii="Cambria Math" w:hAnsi="Cambria Math"/>
                      </w:rPr>
                      <m:t>8ρ</m:t>
                    </m:r>
                    <m:sSup>
                      <m:sSupPr>
                        <m:ctrlPr>
                          <w:rPr>
                            <w:rFonts w:ascii="Cambria Math" w:hAnsi="Cambria Math"/>
                            <w:i/>
                            <w:iCs/>
                          </w:rPr>
                        </m:ctrlPr>
                      </m:sSupPr>
                      <m:e>
                        <m:r>
                          <w:rPr>
                            <w:rFonts w:ascii="Cambria Math" w:hAnsi="Cambria Math"/>
                          </w:rPr>
                          <m:t>Q</m:t>
                        </m:r>
                      </m:e>
                      <m:sup>
                        <m:r>
                          <w:rPr>
                            <w:rFonts w:ascii="Cambria Math" w:hAnsi="Cambria Math"/>
                          </w:rPr>
                          <m:t>2</m:t>
                        </m:r>
                      </m:sup>
                    </m:sSup>
                  </m:den>
                </m:f>
              </m:oMath>
            </m:oMathPara>
          </w:p>
        </w:tc>
        <w:tc>
          <w:tcPr>
            <w:tcW w:w="676" w:type="dxa"/>
            <w:tcBorders>
              <w:top w:val="nil"/>
              <w:left w:val="nil"/>
              <w:bottom w:val="nil"/>
              <w:right w:val="nil"/>
            </w:tcBorders>
            <w:vAlign w:val="center"/>
          </w:tcPr>
          <w:p w:rsidR="003B3577" w:rsidRPr="0022508E" w:rsidRDefault="003B3577" w:rsidP="003B7E6D">
            <w:pPr>
              <w:spacing w:after="0" w:line="240" w:lineRule="auto"/>
              <w:rPr>
                <w:rFonts w:ascii="Cambria Math" w:hAnsi="Cambria Math"/>
                <w:iCs/>
              </w:rPr>
            </w:pPr>
            <w:r w:rsidRPr="0022508E">
              <w:rPr>
                <w:rFonts w:ascii="Cambria Math" w:hAnsi="Cambria Math"/>
                <w:iCs/>
              </w:rPr>
              <w:t>(18)</w:t>
            </w:r>
          </w:p>
        </w:tc>
      </w:tr>
    </w:tbl>
    <w:p w:rsidR="008E147F" w:rsidRDefault="008E147F" w:rsidP="00A2236F"/>
    <w:p w:rsidR="00597884" w:rsidRDefault="005B705A" w:rsidP="00A2236F">
      <w:r w:rsidRPr="003B3577">
        <w:t xml:space="preserve">Para ser considerada uma solução redutora de arraste, o fator de atrito experimental deve se situar </w:t>
      </w:r>
      <w:r w:rsidR="00EC539A">
        <w:t xml:space="preserve">abaixo </w:t>
      </w:r>
      <w:r w:rsidRPr="003B3577">
        <w:t>da curva de fator de atrito do solvente</w:t>
      </w:r>
      <w:r w:rsidR="00EC539A">
        <w:t>. O</w:t>
      </w:r>
      <w:r w:rsidR="00A2236F" w:rsidRPr="003B3577">
        <w:t xml:space="preserve"> </w:t>
      </w:r>
      <w:r w:rsidR="001302CB" w:rsidRPr="003B3577">
        <w:t xml:space="preserve">fator de atrito do </w:t>
      </w:r>
      <w:r w:rsidR="001302CB" w:rsidRPr="003B3577">
        <w:lastRenderedPageBreak/>
        <w:t>solvente</w:t>
      </w:r>
      <w:r w:rsidR="00A2236F" w:rsidRPr="003B3577">
        <w:t xml:space="preserve"> puro</w:t>
      </w:r>
      <w:r w:rsidR="00EC539A">
        <w:t xml:space="preserve"> pode</w:t>
      </w:r>
      <w:r w:rsidRPr="003B3577">
        <w:t xml:space="preserve"> ser </w:t>
      </w:r>
      <w:r w:rsidR="00A2236F" w:rsidRPr="003B3577">
        <w:t xml:space="preserve">estimado através </w:t>
      </w:r>
      <w:r w:rsidR="001302CB" w:rsidRPr="003B3577">
        <w:t>d</w:t>
      </w:r>
      <w:r w:rsidR="00A2236F" w:rsidRPr="003B3577">
        <w:t>a correlação d</w:t>
      </w:r>
      <w:r w:rsidR="001302CB" w:rsidRPr="003B3577">
        <w:t>e Blasius,</w:t>
      </w:r>
      <w:r w:rsidR="00A2236F" w:rsidRPr="003B3577">
        <w:t xml:space="preserve"> apresentada na </w:t>
      </w:r>
      <w:r w:rsidR="003B3577" w:rsidRPr="0065014B">
        <w:fldChar w:fldCharType="begin"/>
      </w:r>
      <w:r w:rsidR="003B3577" w:rsidRPr="0065014B">
        <w:instrText xml:space="preserve"> REF _Ref488098475 \h </w:instrText>
      </w:r>
      <w:r w:rsidR="003B3577" w:rsidRPr="0065014B">
        <w:fldChar w:fldCharType="separate"/>
      </w:r>
      <w:r w:rsidR="00380A8E" w:rsidRPr="0065014B">
        <w:t xml:space="preserve">Equação </w:t>
      </w:r>
      <w:r w:rsidR="00380A8E" w:rsidRPr="0065014B">
        <w:rPr>
          <w:noProof/>
        </w:rPr>
        <w:t>20</w:t>
      </w:r>
      <w:r w:rsidR="003B3577" w:rsidRPr="0065014B">
        <w:fldChar w:fldCharType="end"/>
      </w:r>
      <w:r w:rsidR="001302CB" w:rsidRPr="0065014B">
        <w:t>.</w:t>
      </w:r>
      <w:r w:rsidR="00A2236F" w:rsidRPr="0065014B">
        <w:t xml:space="preserve"> </w:t>
      </w:r>
      <w:r w:rsidR="00241891" w:rsidRPr="0065014B">
        <w:t>Esta</w:t>
      </w:r>
      <w:r w:rsidR="00A2236F" w:rsidRPr="0065014B">
        <w:t xml:space="preserve"> correlação é </w:t>
      </w:r>
      <w:r w:rsidR="00241891" w:rsidRPr="0065014B">
        <w:t xml:space="preserve">utilizada </w:t>
      </w:r>
      <w:r w:rsidR="00A2236F" w:rsidRPr="0065014B">
        <w:t>para números de Reynolds contido</w:t>
      </w:r>
      <w:r w:rsidR="00241891" w:rsidRPr="0065014B">
        <w:t>s</w:t>
      </w:r>
      <w:r w:rsidR="00A2236F" w:rsidRPr="0065014B">
        <w:t xml:space="preserve"> no</w:t>
      </w:r>
      <w:r w:rsidR="00241891" w:rsidRPr="0065014B">
        <w:t xml:space="preserve"> </w:t>
      </w:r>
      <w:r w:rsidR="00A2236F">
        <w:t xml:space="preserve">intervalo de </w:t>
      </w:r>
      <m:oMath>
        <m:r>
          <w:rPr>
            <w:rFonts w:ascii="Cambria Math" w:hAnsi="Cambria Math"/>
          </w:rPr>
          <m:t>2 ×</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&lt; Re&lt; </m:t>
        </m:r>
        <m:sSup>
          <m:sSupPr>
            <m:ctrlPr>
              <w:rPr>
                <w:rFonts w:ascii="Cambria Math" w:hAnsi="Cambria Math"/>
                <w:i/>
              </w:rPr>
            </m:ctrlPr>
          </m:sSupPr>
          <m:e>
            <m:r>
              <w:rPr>
                <w:rFonts w:ascii="Cambria Math" w:hAnsi="Cambria Math"/>
              </w:rPr>
              <m:t>10</m:t>
            </m:r>
          </m:e>
          <m:sup>
            <m:r>
              <w:rPr>
                <w:rFonts w:ascii="Cambria Math" w:hAnsi="Cambria Math"/>
              </w:rPr>
              <m:t>5</m:t>
            </m:r>
          </m:sup>
        </m:sSup>
      </m:oMath>
      <w:r w:rsidR="00241891">
        <w:t xml:space="preserve"> em tubos lisos</w:t>
      </w:r>
      <w:r w:rsidR="00E65894">
        <w:t xml:space="preserve">, englobando os valores de número de Reynolds utilizados nos experimentos. </w:t>
      </w:r>
    </w:p>
    <w:tbl>
      <w:tblPr>
        <w:tblStyle w:val="Tabelacomgrade"/>
        <w:tblW w:w="0" w:type="auto"/>
        <w:tblCellMar>
          <w:left w:w="0" w:type="dxa"/>
          <w:right w:w="0" w:type="dxa"/>
        </w:tblCellMar>
        <w:tblLook w:val="04A0" w:firstRow="1" w:lastRow="0" w:firstColumn="1" w:lastColumn="0" w:noHBand="0" w:noVBand="1"/>
      </w:tblPr>
      <w:tblGrid>
        <w:gridCol w:w="8395"/>
        <w:gridCol w:w="676"/>
      </w:tblGrid>
      <w:tr w:rsidR="003B3577" w:rsidRPr="0022508E" w:rsidTr="003B7E6D">
        <w:tc>
          <w:tcPr>
            <w:tcW w:w="8395" w:type="dxa"/>
            <w:tcBorders>
              <w:top w:val="nil"/>
              <w:left w:val="nil"/>
              <w:bottom w:val="nil"/>
              <w:right w:val="nil"/>
            </w:tcBorders>
            <w:vAlign w:val="center"/>
          </w:tcPr>
          <w:p w:rsidR="003B3577" w:rsidRPr="0022508E" w:rsidRDefault="003B3577" w:rsidP="003B7E6D">
            <w:pPr>
              <w:spacing w:after="0" w:line="240" w:lineRule="auto"/>
              <w:rPr>
                <w:rFonts w:ascii="Cambria Math" w:hAnsi="Cambria Math"/>
                <w:i/>
                <w:iCs/>
              </w:rPr>
            </w:pPr>
            <m:oMathPara>
              <m:oMath>
                <m:r>
                  <w:rPr>
                    <w:rFonts w:ascii="Cambria Math" w:hAnsi="Cambria Math"/>
                  </w:rPr>
                  <m:t>f=0,316×R</m:t>
                </m:r>
                <m:sSup>
                  <m:sSupPr>
                    <m:ctrlPr>
                      <w:rPr>
                        <w:rFonts w:ascii="Cambria Math" w:hAnsi="Cambria Math"/>
                        <w:i/>
                        <w:iCs/>
                      </w:rPr>
                    </m:ctrlPr>
                  </m:sSupPr>
                  <m:e>
                    <m:r>
                      <w:rPr>
                        <w:rFonts w:ascii="Cambria Math" w:hAnsi="Cambria Math"/>
                      </w:rPr>
                      <m:t>e</m:t>
                    </m:r>
                  </m:e>
                  <m:sup>
                    <m:r>
                      <w:rPr>
                        <w:rFonts w:ascii="Cambria Math" w:hAnsi="Cambria Math"/>
                      </w:rPr>
                      <m:t>-0,25</m:t>
                    </m:r>
                  </m:sup>
                </m:sSup>
              </m:oMath>
            </m:oMathPara>
          </w:p>
        </w:tc>
        <w:tc>
          <w:tcPr>
            <w:tcW w:w="676" w:type="dxa"/>
            <w:tcBorders>
              <w:top w:val="nil"/>
              <w:left w:val="nil"/>
              <w:bottom w:val="nil"/>
              <w:right w:val="nil"/>
            </w:tcBorders>
            <w:vAlign w:val="center"/>
          </w:tcPr>
          <w:p w:rsidR="003B3577" w:rsidRPr="0022508E" w:rsidRDefault="003B3577" w:rsidP="003B7E6D">
            <w:pPr>
              <w:spacing w:after="0" w:line="240" w:lineRule="auto"/>
              <w:rPr>
                <w:rFonts w:cs="Arial"/>
                <w:iCs/>
              </w:rPr>
            </w:pPr>
            <w:r w:rsidRPr="0022508E">
              <w:rPr>
                <w:rFonts w:cs="Arial"/>
                <w:iCs/>
              </w:rPr>
              <w:t>(20)</w:t>
            </w:r>
          </w:p>
        </w:tc>
      </w:tr>
    </w:tbl>
    <w:p w:rsidR="005B705A" w:rsidRDefault="005B705A" w:rsidP="00A2236F"/>
    <w:p w:rsidR="00597884" w:rsidRPr="001144AF" w:rsidRDefault="00E65894" w:rsidP="00A2236F">
      <w:r w:rsidRPr="0065014B">
        <w:t>Para o cálculo da redução de arraste (</w:t>
      </w:r>
      <m:oMath>
        <m:r>
          <w:rPr>
            <w:rFonts w:ascii="Cambria Math" w:hAnsi="Cambria Math"/>
          </w:rPr>
          <m:t>DR%</m:t>
        </m:r>
      </m:oMath>
      <w:r w:rsidRPr="0065014B">
        <w:t xml:space="preserve">), a </w:t>
      </w:r>
      <w:r w:rsidR="003B3577" w:rsidRPr="0065014B">
        <w:fldChar w:fldCharType="begin"/>
      </w:r>
      <w:r w:rsidR="003B3577" w:rsidRPr="0065014B">
        <w:instrText xml:space="preserve"> REF _Ref488072753 \h </w:instrText>
      </w:r>
      <w:r w:rsidR="003B3577" w:rsidRPr="0065014B">
        <w:fldChar w:fldCharType="separate"/>
      </w:r>
      <w:r w:rsidR="00380A8E" w:rsidRPr="0065014B">
        <w:t xml:space="preserve">Equação </w:t>
      </w:r>
      <w:r w:rsidR="00380A8E" w:rsidRPr="0065014B">
        <w:rPr>
          <w:noProof/>
        </w:rPr>
        <w:t>2</w:t>
      </w:r>
      <w:r w:rsidR="003B3577" w:rsidRPr="0065014B">
        <w:fldChar w:fldCharType="end"/>
      </w:r>
      <w:r w:rsidRPr="0065014B">
        <w:t xml:space="preserve"> pode ser escrita em termos </w:t>
      </w:r>
      <w:r w:rsidRPr="003B3577">
        <w:t xml:space="preserve">dos fatores de atrito experimental e do obtido por meio da correlação de </w:t>
      </w:r>
      <w:r>
        <w:t>Blasius</w:t>
      </w:r>
      <w:r w:rsidR="003B3577">
        <w:t xml:space="preserve">, </w:t>
      </w:r>
      <w:r w:rsidR="003B3577" w:rsidRPr="001144AF">
        <w:t xml:space="preserve">formando a </w:t>
      </w:r>
      <w:r w:rsidR="003B3577" w:rsidRPr="001144AF">
        <w:fldChar w:fldCharType="begin"/>
      </w:r>
      <w:r w:rsidR="003B3577" w:rsidRPr="001144AF">
        <w:instrText xml:space="preserve"> REF _Ref488103277 \h </w:instrText>
      </w:r>
      <w:r w:rsidR="003B3577" w:rsidRPr="001144AF">
        <w:fldChar w:fldCharType="separate"/>
      </w:r>
      <w:r w:rsidR="00380A8E" w:rsidRPr="001144AF">
        <w:t xml:space="preserve">Equação </w:t>
      </w:r>
      <w:r w:rsidR="00380A8E" w:rsidRPr="001144AF">
        <w:rPr>
          <w:noProof/>
        </w:rPr>
        <w:t>2</w:t>
      </w:r>
      <w:r w:rsidR="003B3577" w:rsidRPr="001144AF">
        <w:fldChar w:fldCharType="end"/>
      </w:r>
      <w:r w:rsidR="001144AF">
        <w:t>8</w:t>
      </w:r>
      <w:r w:rsidR="00597884" w:rsidRPr="001144AF">
        <w:t>.</w:t>
      </w:r>
      <w:r w:rsidRPr="001144AF">
        <w:t xml:space="preserve"> </w:t>
      </w:r>
    </w:p>
    <w:tbl>
      <w:tblPr>
        <w:tblStyle w:val="Tabelacomgrade"/>
        <w:tblW w:w="0" w:type="auto"/>
        <w:tblCellMar>
          <w:left w:w="0" w:type="dxa"/>
          <w:right w:w="0" w:type="dxa"/>
        </w:tblCellMar>
        <w:tblLook w:val="04A0" w:firstRow="1" w:lastRow="0" w:firstColumn="1" w:lastColumn="0" w:noHBand="0" w:noVBand="1"/>
      </w:tblPr>
      <w:tblGrid>
        <w:gridCol w:w="8395"/>
        <w:gridCol w:w="676"/>
      </w:tblGrid>
      <w:tr w:rsidR="00597884" w:rsidTr="00C75E31">
        <w:tc>
          <w:tcPr>
            <w:tcW w:w="8395" w:type="dxa"/>
            <w:tcBorders>
              <w:top w:val="nil"/>
              <w:left w:val="nil"/>
              <w:bottom w:val="nil"/>
              <w:right w:val="nil"/>
            </w:tcBorders>
            <w:vAlign w:val="center"/>
          </w:tcPr>
          <w:p w:rsidR="00597884" w:rsidRPr="00E65894" w:rsidRDefault="00597884" w:rsidP="003B3577">
            <w:pPr>
              <w:spacing w:after="0" w:line="240" w:lineRule="auto"/>
            </w:pPr>
            <m:oMathPara>
              <m:oMath>
                <m:r>
                  <w:rPr>
                    <w:rFonts w:ascii="Cambria Math" w:hAnsi="Cambria Math" w:cs="Arial"/>
                    <w:szCs w:val="24"/>
                  </w:rPr>
                  <m:t>DR%=</m:t>
                </m:r>
                <m:d>
                  <m:dPr>
                    <m:ctrlPr>
                      <w:rPr>
                        <w:rFonts w:ascii="Cambria Math" w:hAnsi="Cambria Math" w:cs="Arial"/>
                        <w:i/>
                        <w:szCs w:val="24"/>
                      </w:rPr>
                    </m:ctrlPr>
                  </m:dPr>
                  <m:e>
                    <m:r>
                      <w:rPr>
                        <w:rFonts w:ascii="Cambria Math" w:hAnsi="Cambria Math" w:cs="Arial"/>
                        <w:szCs w:val="24"/>
                      </w:rPr>
                      <m:t>1-</m:t>
                    </m:r>
                    <m:f>
                      <m:fPr>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f</m:t>
                            </m:r>
                          </m:e>
                          <m:sub>
                            <m:r>
                              <w:rPr>
                                <w:rFonts w:ascii="Cambria Math" w:hAnsi="Cambria Math" w:cs="Arial"/>
                                <w:szCs w:val="24"/>
                              </w:rPr>
                              <m:t>exp</m:t>
                            </m:r>
                          </m:sub>
                        </m:sSub>
                      </m:num>
                      <m:den>
                        <m:sSub>
                          <m:sSubPr>
                            <m:ctrlPr>
                              <w:rPr>
                                <w:rFonts w:ascii="Cambria Math" w:hAnsi="Cambria Math" w:cs="Arial"/>
                                <w:i/>
                                <w:szCs w:val="24"/>
                              </w:rPr>
                            </m:ctrlPr>
                          </m:sSubPr>
                          <m:e>
                            <m:r>
                              <w:rPr>
                                <w:rFonts w:ascii="Cambria Math" w:hAnsi="Cambria Math" w:cs="Arial"/>
                                <w:szCs w:val="24"/>
                              </w:rPr>
                              <m:t>f</m:t>
                            </m:r>
                          </m:e>
                          <m:sub>
                            <m:r>
                              <w:rPr>
                                <w:rFonts w:ascii="Cambria Math" w:hAnsi="Cambria Math" w:cs="Arial"/>
                                <w:szCs w:val="24"/>
                              </w:rPr>
                              <m:t>blasius</m:t>
                            </m:r>
                          </m:sub>
                        </m:sSub>
                      </m:den>
                    </m:f>
                  </m:e>
                </m:d>
                <m:r>
                  <w:rPr>
                    <w:rFonts w:ascii="Cambria Math" w:eastAsiaTheme="minorEastAsia" w:hAnsi="Cambria Math" w:cs="Arial"/>
                    <w:szCs w:val="24"/>
                  </w:rPr>
                  <m:t>×100</m:t>
                </m:r>
              </m:oMath>
            </m:oMathPara>
          </w:p>
        </w:tc>
        <w:tc>
          <w:tcPr>
            <w:tcW w:w="676" w:type="dxa"/>
            <w:tcBorders>
              <w:top w:val="nil"/>
              <w:left w:val="nil"/>
              <w:bottom w:val="nil"/>
              <w:right w:val="nil"/>
            </w:tcBorders>
            <w:vAlign w:val="center"/>
          </w:tcPr>
          <w:p w:rsidR="00597884" w:rsidRDefault="003B3577" w:rsidP="003B3577">
            <w:pPr>
              <w:keepNext/>
              <w:autoSpaceDE w:val="0"/>
              <w:autoSpaceDN w:val="0"/>
              <w:adjustRightInd w:val="0"/>
              <w:spacing w:after="0" w:line="240" w:lineRule="auto"/>
              <w:contextualSpacing w:val="0"/>
              <w:jc w:val="center"/>
              <w:rPr>
                <w:rFonts w:cs="Arial"/>
                <w:szCs w:val="24"/>
              </w:rPr>
            </w:pPr>
            <w:r>
              <w:rPr>
                <w:rFonts w:cs="Arial"/>
                <w:szCs w:val="24"/>
              </w:rPr>
              <w:t>(</w:t>
            </w:r>
            <w:r w:rsidR="00597884">
              <w:rPr>
                <w:rFonts w:cs="Arial"/>
                <w:szCs w:val="24"/>
              </w:rPr>
              <w:t>2</w:t>
            </w:r>
            <w:r w:rsidR="001144AF">
              <w:rPr>
                <w:rFonts w:cs="Arial"/>
                <w:szCs w:val="24"/>
              </w:rPr>
              <w:t>8</w:t>
            </w:r>
            <w:r w:rsidR="00597884">
              <w:rPr>
                <w:rFonts w:cs="Arial"/>
                <w:szCs w:val="24"/>
              </w:rPr>
              <w:t>)</w:t>
            </w:r>
          </w:p>
        </w:tc>
      </w:tr>
    </w:tbl>
    <w:p w:rsidR="00E65894" w:rsidRPr="003B3577" w:rsidRDefault="003B3577" w:rsidP="003B3577">
      <w:pPr>
        <w:pStyle w:val="Legenda"/>
        <w:rPr>
          <w:rFonts w:cs="Arial"/>
          <w:color w:val="FFFFFF" w:themeColor="background1"/>
          <w:szCs w:val="24"/>
        </w:rPr>
      </w:pPr>
      <w:bookmarkStart w:id="105" w:name="_Ref488103277"/>
      <w:r w:rsidRPr="003B3577">
        <w:rPr>
          <w:color w:val="FFFFFF" w:themeColor="background1"/>
        </w:rPr>
        <w:t xml:space="preserve">Equação </w:t>
      </w:r>
      <w:r w:rsidR="001144AF">
        <w:rPr>
          <w:color w:val="FFFFFF" w:themeColor="background1"/>
        </w:rPr>
        <w:fldChar w:fldCharType="begin"/>
      </w:r>
      <w:r w:rsidR="001144AF">
        <w:rPr>
          <w:color w:val="FFFFFF" w:themeColor="background1"/>
        </w:rPr>
        <w:instrText xml:space="preserve"> SEQ Equação \* ARABIC </w:instrText>
      </w:r>
      <w:r w:rsidR="001144AF">
        <w:rPr>
          <w:color w:val="FFFFFF" w:themeColor="background1"/>
        </w:rPr>
        <w:fldChar w:fldCharType="separate"/>
      </w:r>
      <w:r w:rsidR="001144AF">
        <w:rPr>
          <w:noProof/>
          <w:color w:val="FFFFFF" w:themeColor="background1"/>
        </w:rPr>
        <w:t>28</w:t>
      </w:r>
      <w:r w:rsidR="001144AF">
        <w:rPr>
          <w:color w:val="FFFFFF" w:themeColor="background1"/>
        </w:rPr>
        <w:fldChar w:fldCharType="end"/>
      </w:r>
      <w:bookmarkEnd w:id="105"/>
    </w:p>
    <w:p w:rsidR="009F0977" w:rsidRPr="007B4849" w:rsidRDefault="00E65894" w:rsidP="001302CB">
      <w:r>
        <w:rPr>
          <w:rFonts w:cs="Arial"/>
          <w:szCs w:val="24"/>
        </w:rPr>
        <w:t xml:space="preserve">A fim de se </w:t>
      </w:r>
      <w:r w:rsidR="00F5116A">
        <w:rPr>
          <w:rFonts w:cs="Arial"/>
          <w:szCs w:val="24"/>
        </w:rPr>
        <w:t xml:space="preserve">comparar </w:t>
      </w:r>
      <w:r>
        <w:rPr>
          <w:rFonts w:cs="Arial"/>
          <w:szCs w:val="24"/>
        </w:rPr>
        <w:t>o potencial de redução de arraste da solução experimental, é importante representar a assíntota de Máxima Redução de Arraste</w:t>
      </w:r>
      <w:r w:rsidR="001144AF">
        <w:rPr>
          <w:rFonts w:cs="Arial"/>
          <w:szCs w:val="24"/>
        </w:rPr>
        <w:t xml:space="preserve">, obtida por meio </w:t>
      </w:r>
      <w:r w:rsidR="002A0CC3" w:rsidRPr="0065014B">
        <w:rPr>
          <w:rFonts w:cs="Arial"/>
          <w:szCs w:val="24"/>
        </w:rPr>
        <w:t>da razão entre o fator de atrito de Virk (</w:t>
      </w:r>
      <w:r w:rsidR="002A0CC3" w:rsidRPr="0065014B">
        <w:rPr>
          <w:rFonts w:cs="Arial"/>
          <w:szCs w:val="24"/>
        </w:rPr>
        <w:fldChar w:fldCharType="begin"/>
      </w:r>
      <w:r w:rsidR="002A0CC3" w:rsidRPr="0065014B">
        <w:rPr>
          <w:rFonts w:cs="Arial"/>
          <w:szCs w:val="24"/>
        </w:rPr>
        <w:instrText xml:space="preserve"> REF _Ref488072837 \h </w:instrText>
      </w:r>
      <w:r w:rsidR="002A0CC3" w:rsidRPr="0065014B">
        <w:rPr>
          <w:rFonts w:cs="Arial"/>
          <w:szCs w:val="24"/>
        </w:rPr>
      </w:r>
      <w:r w:rsidR="002A0CC3" w:rsidRPr="0065014B">
        <w:rPr>
          <w:rFonts w:cs="Arial"/>
          <w:szCs w:val="24"/>
        </w:rPr>
        <w:fldChar w:fldCharType="separate"/>
      </w:r>
      <w:r w:rsidR="00380A8E" w:rsidRPr="0065014B">
        <w:t xml:space="preserve">Equação </w:t>
      </w:r>
      <w:r w:rsidR="00380A8E" w:rsidRPr="0065014B">
        <w:rPr>
          <w:noProof/>
        </w:rPr>
        <w:t>3</w:t>
      </w:r>
      <w:r w:rsidR="002A0CC3" w:rsidRPr="0065014B">
        <w:rPr>
          <w:rFonts w:cs="Arial"/>
          <w:szCs w:val="24"/>
        </w:rPr>
        <w:fldChar w:fldCharType="end"/>
      </w:r>
      <w:r w:rsidR="002A0CC3" w:rsidRPr="0065014B">
        <w:rPr>
          <w:rFonts w:cs="Arial"/>
          <w:szCs w:val="24"/>
        </w:rPr>
        <w:t>) e de Blasius</w:t>
      </w:r>
      <w:r w:rsidR="008E147F" w:rsidRPr="0065014B">
        <w:rPr>
          <w:rFonts w:cs="Arial"/>
          <w:szCs w:val="24"/>
        </w:rPr>
        <w:t>.</w:t>
      </w:r>
      <w:r w:rsidR="002A0CC3" w:rsidRPr="0065014B">
        <w:rPr>
          <w:rFonts w:cs="Arial"/>
          <w:szCs w:val="24"/>
        </w:rPr>
        <w:t xml:space="preserve"> A </w:t>
      </w:r>
      <w:r w:rsidR="002A0CC3" w:rsidRPr="0065014B">
        <w:rPr>
          <w:rFonts w:cs="Arial"/>
          <w:szCs w:val="24"/>
        </w:rPr>
        <w:fldChar w:fldCharType="begin"/>
      </w:r>
      <w:r w:rsidR="002A0CC3" w:rsidRPr="0065014B">
        <w:rPr>
          <w:rFonts w:cs="Arial"/>
          <w:szCs w:val="24"/>
        </w:rPr>
        <w:instrText xml:space="preserve"> REF _Ref488103479 \h </w:instrText>
      </w:r>
      <w:r w:rsidR="002A0CC3" w:rsidRPr="0065014B">
        <w:rPr>
          <w:rFonts w:cs="Arial"/>
          <w:szCs w:val="24"/>
        </w:rPr>
      </w:r>
      <w:r w:rsidR="002A0CC3" w:rsidRPr="0065014B">
        <w:rPr>
          <w:rFonts w:cs="Arial"/>
          <w:szCs w:val="24"/>
        </w:rPr>
        <w:fldChar w:fldCharType="separate"/>
      </w:r>
      <w:r w:rsidR="00380A8E" w:rsidRPr="0065014B">
        <w:t xml:space="preserve">Equação </w:t>
      </w:r>
      <w:r w:rsidR="00380A8E" w:rsidRPr="0065014B">
        <w:rPr>
          <w:noProof/>
        </w:rPr>
        <w:t>2</w:t>
      </w:r>
      <w:r w:rsidR="002A0CC3" w:rsidRPr="0065014B">
        <w:rPr>
          <w:rFonts w:cs="Arial"/>
          <w:szCs w:val="24"/>
        </w:rPr>
        <w:fldChar w:fldCharType="end"/>
      </w:r>
      <w:r w:rsidR="001144AF">
        <w:rPr>
          <w:rFonts w:cs="Arial"/>
          <w:szCs w:val="24"/>
        </w:rPr>
        <w:t>9</w:t>
      </w:r>
      <w:r w:rsidR="002A0CC3" w:rsidRPr="0065014B">
        <w:rPr>
          <w:rFonts w:cs="Arial"/>
          <w:szCs w:val="24"/>
        </w:rPr>
        <w:t xml:space="preserve"> resulta </w:t>
      </w:r>
      <w:r w:rsidR="002A0CC3">
        <w:rPr>
          <w:rFonts w:cs="Arial"/>
          <w:szCs w:val="24"/>
        </w:rPr>
        <w:t>no valor percentual para a assíntota MDR.</w:t>
      </w:r>
    </w:p>
    <w:tbl>
      <w:tblPr>
        <w:tblStyle w:val="Tabelacomgrade"/>
        <w:tblW w:w="0" w:type="auto"/>
        <w:tblCellMar>
          <w:left w:w="0" w:type="dxa"/>
          <w:right w:w="0" w:type="dxa"/>
        </w:tblCellMar>
        <w:tblLook w:val="04A0" w:firstRow="1" w:lastRow="0" w:firstColumn="1" w:lastColumn="0" w:noHBand="0" w:noVBand="1"/>
      </w:tblPr>
      <w:tblGrid>
        <w:gridCol w:w="8395"/>
        <w:gridCol w:w="676"/>
      </w:tblGrid>
      <w:tr w:rsidR="008E147F" w:rsidTr="00C75E31">
        <w:tc>
          <w:tcPr>
            <w:tcW w:w="8395" w:type="dxa"/>
            <w:tcBorders>
              <w:top w:val="nil"/>
              <w:left w:val="nil"/>
              <w:bottom w:val="nil"/>
              <w:right w:val="nil"/>
            </w:tcBorders>
            <w:vAlign w:val="center"/>
          </w:tcPr>
          <w:p w:rsidR="008E147F" w:rsidRDefault="002A0CC3" w:rsidP="002A0CC3">
            <w:pPr>
              <w:autoSpaceDE w:val="0"/>
              <w:autoSpaceDN w:val="0"/>
              <w:adjustRightInd w:val="0"/>
              <w:spacing w:after="0"/>
              <w:contextualSpacing w:val="0"/>
              <w:rPr>
                <w:rFonts w:cs="Arial"/>
                <w:szCs w:val="24"/>
              </w:rPr>
            </w:pPr>
            <m:oMathPara>
              <m:oMath>
                <m:r>
                  <w:rPr>
                    <w:rFonts w:ascii="Cambria Math" w:hAnsi="Cambria Math" w:cs="Arial"/>
                    <w:szCs w:val="24"/>
                  </w:rPr>
                  <m:t>MDR=1-</m:t>
                </m:r>
                <m:d>
                  <m:dPr>
                    <m:ctrlPr>
                      <w:rPr>
                        <w:rFonts w:ascii="Cambria Math" w:hAnsi="Cambria Math" w:cs="Arial"/>
                        <w:i/>
                        <w:szCs w:val="24"/>
                      </w:rPr>
                    </m:ctrlPr>
                  </m:dPr>
                  <m:e>
                    <m:f>
                      <m:fPr>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f</m:t>
                            </m:r>
                          </m:e>
                          <m:sub>
                            <m:r>
                              <w:rPr>
                                <w:rFonts w:ascii="Cambria Math" w:hAnsi="Cambria Math" w:cs="Arial"/>
                                <w:szCs w:val="24"/>
                              </w:rPr>
                              <m:t>virk</m:t>
                            </m:r>
                          </m:sub>
                        </m:sSub>
                      </m:num>
                      <m:den>
                        <m:sSub>
                          <m:sSubPr>
                            <m:ctrlPr>
                              <w:rPr>
                                <w:rFonts w:ascii="Cambria Math" w:hAnsi="Cambria Math" w:cs="Arial"/>
                                <w:i/>
                                <w:szCs w:val="24"/>
                              </w:rPr>
                            </m:ctrlPr>
                          </m:sSubPr>
                          <m:e>
                            <m:r>
                              <w:rPr>
                                <w:rFonts w:ascii="Cambria Math" w:hAnsi="Cambria Math" w:cs="Arial"/>
                                <w:szCs w:val="24"/>
                              </w:rPr>
                              <m:t>f</m:t>
                            </m:r>
                          </m:e>
                          <m:sub>
                            <m:r>
                              <w:rPr>
                                <w:rFonts w:ascii="Cambria Math" w:hAnsi="Cambria Math" w:cs="Arial"/>
                                <w:szCs w:val="24"/>
                              </w:rPr>
                              <m:t>blasius</m:t>
                            </m:r>
                          </m:sub>
                        </m:sSub>
                      </m:den>
                    </m:f>
                  </m:e>
                </m:d>
                <m:r>
                  <w:rPr>
                    <w:rFonts w:ascii="Cambria Math" w:hAnsi="Cambria Math" w:cs="Arial"/>
                    <w:szCs w:val="24"/>
                  </w:rPr>
                  <m:t>×100</m:t>
                </m:r>
              </m:oMath>
            </m:oMathPara>
          </w:p>
        </w:tc>
        <w:tc>
          <w:tcPr>
            <w:tcW w:w="676" w:type="dxa"/>
            <w:tcBorders>
              <w:top w:val="nil"/>
              <w:left w:val="nil"/>
              <w:bottom w:val="nil"/>
              <w:right w:val="nil"/>
            </w:tcBorders>
            <w:vAlign w:val="center"/>
          </w:tcPr>
          <w:p w:rsidR="008E147F" w:rsidRDefault="00A63D5B" w:rsidP="001144AF">
            <w:pPr>
              <w:keepNext/>
              <w:autoSpaceDE w:val="0"/>
              <w:autoSpaceDN w:val="0"/>
              <w:adjustRightInd w:val="0"/>
              <w:contextualSpacing w:val="0"/>
              <w:jc w:val="center"/>
              <w:rPr>
                <w:rFonts w:cs="Arial"/>
                <w:szCs w:val="24"/>
              </w:rPr>
            </w:pPr>
            <w:r>
              <w:rPr>
                <w:rFonts w:cs="Arial"/>
                <w:szCs w:val="24"/>
              </w:rPr>
              <w:t>(2</w:t>
            </w:r>
            <w:r w:rsidR="001144AF">
              <w:rPr>
                <w:rFonts w:cs="Arial"/>
                <w:szCs w:val="24"/>
              </w:rPr>
              <w:t>9</w:t>
            </w:r>
            <w:r w:rsidR="008E147F">
              <w:rPr>
                <w:rFonts w:cs="Arial"/>
                <w:szCs w:val="24"/>
              </w:rPr>
              <w:t>)</w:t>
            </w:r>
          </w:p>
        </w:tc>
      </w:tr>
    </w:tbl>
    <w:p w:rsidR="003E466A" w:rsidRPr="002A0CC3" w:rsidRDefault="002A0CC3" w:rsidP="002A0CC3">
      <w:pPr>
        <w:pStyle w:val="Legenda"/>
        <w:rPr>
          <w:color w:val="FFFFFF" w:themeColor="background1"/>
        </w:rPr>
      </w:pPr>
      <w:bookmarkStart w:id="106" w:name="_Ref488103479"/>
      <w:r w:rsidRPr="002A0CC3">
        <w:rPr>
          <w:color w:val="FFFFFF" w:themeColor="background1"/>
        </w:rPr>
        <w:t xml:space="preserve">Equação </w:t>
      </w:r>
      <w:r w:rsidR="001144AF">
        <w:rPr>
          <w:color w:val="FFFFFF" w:themeColor="background1"/>
        </w:rPr>
        <w:fldChar w:fldCharType="begin"/>
      </w:r>
      <w:r w:rsidR="001144AF">
        <w:rPr>
          <w:color w:val="FFFFFF" w:themeColor="background1"/>
        </w:rPr>
        <w:instrText xml:space="preserve"> SEQ Equação \* ARABIC </w:instrText>
      </w:r>
      <w:r w:rsidR="001144AF">
        <w:rPr>
          <w:color w:val="FFFFFF" w:themeColor="background1"/>
        </w:rPr>
        <w:fldChar w:fldCharType="separate"/>
      </w:r>
      <w:r w:rsidR="001144AF">
        <w:rPr>
          <w:noProof/>
          <w:color w:val="FFFFFF" w:themeColor="background1"/>
        </w:rPr>
        <w:t>29</w:t>
      </w:r>
      <w:r w:rsidR="001144AF">
        <w:rPr>
          <w:color w:val="FFFFFF" w:themeColor="background1"/>
        </w:rPr>
        <w:fldChar w:fldCharType="end"/>
      </w:r>
      <w:bookmarkEnd w:id="106"/>
    </w:p>
    <w:p w:rsidR="003E466A" w:rsidRPr="007B4849" w:rsidRDefault="003E466A" w:rsidP="003E466A">
      <w:pPr>
        <w:pStyle w:val="Nvel2-PG"/>
        <w:jc w:val="both"/>
      </w:pPr>
      <w:bookmarkStart w:id="107" w:name="_Toc488678367"/>
      <w:r w:rsidRPr="007B4849">
        <w:t>3.</w:t>
      </w:r>
      <w:r>
        <w:t xml:space="preserve">4 Cálculo da </w:t>
      </w:r>
      <w:r w:rsidR="00A63D5B">
        <w:t xml:space="preserve">economia de </w:t>
      </w:r>
      <w:r>
        <w:t>energia</w:t>
      </w:r>
      <w:bookmarkEnd w:id="107"/>
    </w:p>
    <w:p w:rsidR="003E466A" w:rsidRDefault="00A63D5B" w:rsidP="003E466A">
      <w:r>
        <w:t>Por meio da aquisição de dados de potência</w:t>
      </w:r>
      <w:r w:rsidR="00EC539A">
        <w:t xml:space="preserve"> instantânea</w:t>
      </w:r>
      <w:r>
        <w:t>, é possível ca</w:t>
      </w:r>
      <w:r w:rsidR="00EC539A">
        <w:t xml:space="preserve">lcular a energia consumida para promover o </w:t>
      </w:r>
      <w:r>
        <w:t>escoamento das soluções através da área abaixo da curva gerada de potência ao longo do tempo.</w:t>
      </w:r>
    </w:p>
    <w:p w:rsidR="00A63D5B" w:rsidRDefault="00A63D5B" w:rsidP="003E466A">
      <w:r>
        <w:t>Para a água, é realizada uma média da potência consumida em cada teste e este valor é multiplicado pelo tempo de duração do</w:t>
      </w:r>
      <w:r w:rsidR="002C303F">
        <w:t xml:space="preserve"> experimento com a solução</w:t>
      </w:r>
      <w:r>
        <w:t>. Esta estimativa é realizada a cada teste devido a pequenas variações que implicam em consumos de potência levemente diferentes para o solvente em uma mesma vazão.</w:t>
      </w:r>
    </w:p>
    <w:p w:rsidR="00A63D5B" w:rsidRPr="0065014B" w:rsidRDefault="00A63D5B" w:rsidP="003E466A">
      <w:r w:rsidRPr="0065014B">
        <w:t xml:space="preserve">A energia </w:t>
      </w:r>
      <w:r w:rsidR="002C303F" w:rsidRPr="0065014B">
        <w:t xml:space="preserve">estimada que seria consumida pelo solvente é dada </w:t>
      </w:r>
      <w:r w:rsidR="002C303F" w:rsidRPr="001144AF">
        <w:t xml:space="preserve">pela </w:t>
      </w:r>
      <w:bookmarkStart w:id="108" w:name="_Ref488105009"/>
      <w:r w:rsidR="001144AF" w:rsidRPr="001144AF">
        <w:t xml:space="preserve">Equação </w:t>
      </w:r>
      <w:fldSimple w:instr=" SEQ Equação \* ARABIC ">
        <w:r w:rsidR="001144AF" w:rsidRPr="001144AF">
          <w:rPr>
            <w:noProof/>
          </w:rPr>
          <w:t>30</w:t>
        </w:r>
      </w:fldSimple>
      <w:bookmarkEnd w:id="108"/>
      <w:r w:rsidR="002C303F" w:rsidRPr="001144AF">
        <w:t xml:space="preserve">, onde </w:t>
      </w:r>
      <m:oMath>
        <m:r>
          <w:rPr>
            <w:rFonts w:ascii="Cambria Math" w:hAnsi="Cambria Math"/>
          </w:rPr>
          <m:t>∆t</m:t>
        </m:r>
      </m:oMath>
      <w:r w:rsidR="002C303F" w:rsidRPr="0065014B">
        <w:t xml:space="preserve"> representa o tempo total de ensaio da solução polimérica.</w:t>
      </w:r>
    </w:p>
    <w:tbl>
      <w:tblPr>
        <w:tblStyle w:val="Tabelacomgrade"/>
        <w:tblW w:w="0" w:type="auto"/>
        <w:tblCellMar>
          <w:left w:w="0" w:type="dxa"/>
          <w:right w:w="0" w:type="dxa"/>
        </w:tblCellMar>
        <w:tblLook w:val="04A0" w:firstRow="1" w:lastRow="0" w:firstColumn="1" w:lastColumn="0" w:noHBand="0" w:noVBand="1"/>
      </w:tblPr>
      <w:tblGrid>
        <w:gridCol w:w="8395"/>
        <w:gridCol w:w="676"/>
      </w:tblGrid>
      <w:tr w:rsidR="002C303F" w:rsidTr="003B7E6D">
        <w:tc>
          <w:tcPr>
            <w:tcW w:w="8395" w:type="dxa"/>
            <w:tcBorders>
              <w:top w:val="nil"/>
              <w:left w:val="nil"/>
              <w:bottom w:val="nil"/>
              <w:right w:val="nil"/>
            </w:tcBorders>
            <w:vAlign w:val="center"/>
          </w:tcPr>
          <w:p w:rsidR="002C303F" w:rsidRDefault="00D83C6E" w:rsidP="002C303F">
            <w:pPr>
              <w:autoSpaceDE w:val="0"/>
              <w:autoSpaceDN w:val="0"/>
              <w:adjustRightInd w:val="0"/>
              <w:spacing w:after="0"/>
              <w:contextualSpacing w:val="0"/>
              <w:rPr>
                <w:rFonts w:cs="Arial"/>
                <w:szCs w:val="24"/>
              </w:rPr>
            </w:pPr>
            <m:oMathPara>
              <m:oMath>
                <m:sSub>
                  <m:sSubPr>
                    <m:ctrlPr>
                      <w:rPr>
                        <w:rFonts w:ascii="Cambria Math" w:hAnsi="Cambria Math" w:cs="Arial"/>
                        <w:i/>
                        <w:szCs w:val="24"/>
                      </w:rPr>
                    </m:ctrlPr>
                  </m:sSubPr>
                  <m:e>
                    <m:acc>
                      <m:accPr>
                        <m:chr m:val="̇"/>
                        <m:ctrlPr>
                          <w:rPr>
                            <w:rFonts w:ascii="Cambria Math" w:hAnsi="Cambria Math" w:cs="Arial"/>
                            <w:i/>
                            <w:szCs w:val="24"/>
                          </w:rPr>
                        </m:ctrlPr>
                      </m:accPr>
                      <m:e>
                        <m:r>
                          <w:rPr>
                            <w:rFonts w:ascii="Cambria Math" w:hAnsi="Cambria Math" w:cs="Arial"/>
                            <w:szCs w:val="24"/>
                          </w:rPr>
                          <m:t>E</m:t>
                        </m:r>
                      </m:e>
                    </m:acc>
                  </m:e>
                  <m:sub>
                    <m:r>
                      <w:rPr>
                        <w:rFonts w:ascii="Cambria Math" w:hAnsi="Cambria Math" w:cs="Arial"/>
                        <w:szCs w:val="24"/>
                      </w:rPr>
                      <m:t>Água</m:t>
                    </m:r>
                  </m:sub>
                </m:sSub>
                <m:r>
                  <w:rPr>
                    <w:rFonts w:ascii="Cambria Math" w:hAnsi="Cambria Math" w:cs="Arial"/>
                    <w:szCs w:val="24"/>
                  </w:rPr>
                  <m:t>=</m:t>
                </m:r>
                <m:sSub>
                  <m:sSubPr>
                    <m:ctrlPr>
                      <w:rPr>
                        <w:rFonts w:ascii="Cambria Math" w:hAnsi="Cambria Math" w:cs="Arial"/>
                        <w:i/>
                        <w:szCs w:val="24"/>
                      </w:rPr>
                    </m:ctrlPr>
                  </m:sSubPr>
                  <m:e>
                    <m:acc>
                      <m:accPr>
                        <m:chr m:val="̅"/>
                        <m:ctrlPr>
                          <w:rPr>
                            <w:rFonts w:ascii="Cambria Math" w:hAnsi="Cambria Math" w:cs="Arial"/>
                            <w:i/>
                            <w:szCs w:val="24"/>
                          </w:rPr>
                        </m:ctrlPr>
                      </m:accPr>
                      <m:e>
                        <m:r>
                          <w:rPr>
                            <w:rFonts w:ascii="Cambria Math" w:hAnsi="Cambria Math" w:cs="Arial"/>
                            <w:szCs w:val="24"/>
                          </w:rPr>
                          <m:t>W</m:t>
                        </m:r>
                      </m:e>
                    </m:acc>
                  </m:e>
                  <m:sub>
                    <m:r>
                      <w:rPr>
                        <w:rFonts w:ascii="Cambria Math" w:hAnsi="Cambria Math" w:cs="Arial"/>
                        <w:szCs w:val="24"/>
                      </w:rPr>
                      <m:t>Água</m:t>
                    </m:r>
                  </m:sub>
                </m:sSub>
                <m:r>
                  <w:rPr>
                    <w:rFonts w:ascii="Cambria Math" w:hAnsi="Cambria Math" w:cs="Arial"/>
                    <w:szCs w:val="24"/>
                  </w:rPr>
                  <m:t>×∆t</m:t>
                </m:r>
              </m:oMath>
            </m:oMathPara>
          </w:p>
        </w:tc>
        <w:tc>
          <w:tcPr>
            <w:tcW w:w="676" w:type="dxa"/>
            <w:tcBorders>
              <w:top w:val="nil"/>
              <w:left w:val="nil"/>
              <w:bottom w:val="nil"/>
              <w:right w:val="nil"/>
            </w:tcBorders>
            <w:vAlign w:val="center"/>
          </w:tcPr>
          <w:p w:rsidR="002C303F" w:rsidRDefault="002C303F" w:rsidP="001144AF">
            <w:pPr>
              <w:keepNext/>
              <w:autoSpaceDE w:val="0"/>
              <w:autoSpaceDN w:val="0"/>
              <w:adjustRightInd w:val="0"/>
              <w:contextualSpacing w:val="0"/>
              <w:jc w:val="center"/>
              <w:rPr>
                <w:rFonts w:cs="Arial"/>
                <w:szCs w:val="24"/>
              </w:rPr>
            </w:pPr>
            <w:r>
              <w:rPr>
                <w:rFonts w:cs="Arial"/>
                <w:szCs w:val="24"/>
              </w:rPr>
              <w:t>(</w:t>
            </w:r>
            <w:r w:rsidR="001144AF">
              <w:rPr>
                <w:rFonts w:cs="Arial"/>
                <w:szCs w:val="24"/>
              </w:rPr>
              <w:t>30</w:t>
            </w:r>
            <w:r>
              <w:rPr>
                <w:rFonts w:cs="Arial"/>
                <w:szCs w:val="24"/>
              </w:rPr>
              <w:t>)</w:t>
            </w:r>
          </w:p>
        </w:tc>
      </w:tr>
    </w:tbl>
    <w:p w:rsidR="008E147F" w:rsidRPr="00487DF7" w:rsidRDefault="008E147F" w:rsidP="002C303F">
      <w:pPr>
        <w:pStyle w:val="Legenda"/>
        <w:tabs>
          <w:tab w:val="left" w:pos="5400"/>
        </w:tabs>
        <w:rPr>
          <w:color w:val="FFFFFF" w:themeColor="background1"/>
        </w:rPr>
      </w:pPr>
    </w:p>
    <w:p w:rsidR="002C303F" w:rsidRDefault="003B28CC" w:rsidP="002C303F">
      <w:r>
        <w:t xml:space="preserve">Para a </w:t>
      </w:r>
      <w:r w:rsidR="002C303F">
        <w:t xml:space="preserve">energia </w:t>
      </w:r>
      <w:r>
        <w:t>consumida pel</w:t>
      </w:r>
      <w:r w:rsidR="00EC539A">
        <w:t>a solução polimérica</w:t>
      </w:r>
      <w:r>
        <w:t>, apesar de não possuirmos a equação da curva gerada de potência ao longo do tempo, a grande quantidade de dados adqu</w:t>
      </w:r>
      <w:r w:rsidR="00FE2862">
        <w:t xml:space="preserve">iridos a taxa 20 Hz </w:t>
      </w:r>
      <w:r>
        <w:t xml:space="preserve">facilita o cálculo da área. Basta realizar o produto de </w:t>
      </w:r>
      <w:r>
        <w:lastRenderedPageBreak/>
        <w:t xml:space="preserve">cada intervalo de tempo por cada valor de potência indicado no instante </w:t>
      </w:r>
      <w:r w:rsidRPr="001144AF">
        <w:t xml:space="preserve">medido. A </w:t>
      </w:r>
      <w:r w:rsidR="00487DF7" w:rsidRPr="001144AF">
        <w:fldChar w:fldCharType="begin"/>
      </w:r>
      <w:r w:rsidR="00487DF7" w:rsidRPr="001144AF">
        <w:instrText xml:space="preserve"> REF _Ref488107796 \h </w:instrText>
      </w:r>
      <w:r w:rsidR="00487DF7" w:rsidRPr="001144AF">
        <w:fldChar w:fldCharType="separate"/>
      </w:r>
      <w:r w:rsidR="00380A8E" w:rsidRPr="001144AF">
        <w:t xml:space="preserve">Equação </w:t>
      </w:r>
      <w:r w:rsidR="00380A8E" w:rsidRPr="001144AF">
        <w:rPr>
          <w:noProof/>
        </w:rPr>
        <w:t>3</w:t>
      </w:r>
      <w:r w:rsidR="00487DF7" w:rsidRPr="001144AF">
        <w:fldChar w:fldCharType="end"/>
      </w:r>
      <w:r w:rsidR="001144AF">
        <w:t>1</w:t>
      </w:r>
      <w:r w:rsidR="00487DF7" w:rsidRPr="001144AF">
        <w:t xml:space="preserve"> traz o cálculo utilizado, onde n é o número de intervalos de tempo ao longo do experimento</w:t>
      </w:r>
      <w:r w:rsidR="00487DF7">
        <w:t xml:space="preserve">. </w:t>
      </w:r>
    </w:p>
    <w:tbl>
      <w:tblPr>
        <w:tblStyle w:val="Tabelacomgrade"/>
        <w:tblW w:w="0" w:type="auto"/>
        <w:tblCellMar>
          <w:left w:w="0" w:type="dxa"/>
          <w:right w:w="0" w:type="dxa"/>
        </w:tblCellMar>
        <w:tblLook w:val="04A0" w:firstRow="1" w:lastRow="0" w:firstColumn="1" w:lastColumn="0" w:noHBand="0" w:noVBand="1"/>
      </w:tblPr>
      <w:tblGrid>
        <w:gridCol w:w="8395"/>
        <w:gridCol w:w="676"/>
      </w:tblGrid>
      <w:tr w:rsidR="003B28CC" w:rsidTr="003B7E6D">
        <w:tc>
          <w:tcPr>
            <w:tcW w:w="8395" w:type="dxa"/>
            <w:tcBorders>
              <w:top w:val="nil"/>
              <w:left w:val="nil"/>
              <w:bottom w:val="nil"/>
              <w:right w:val="nil"/>
            </w:tcBorders>
            <w:vAlign w:val="center"/>
          </w:tcPr>
          <w:p w:rsidR="003B28CC" w:rsidRDefault="00D83C6E" w:rsidP="00862B53">
            <w:pPr>
              <w:autoSpaceDE w:val="0"/>
              <w:autoSpaceDN w:val="0"/>
              <w:adjustRightInd w:val="0"/>
              <w:spacing w:after="0"/>
              <w:contextualSpacing w:val="0"/>
              <w:rPr>
                <w:rFonts w:cs="Arial"/>
                <w:szCs w:val="24"/>
              </w:rPr>
            </w:pPr>
            <m:oMathPara>
              <m:oMath>
                <m:sSub>
                  <m:sSubPr>
                    <m:ctrlPr>
                      <w:rPr>
                        <w:rFonts w:ascii="Cambria Math" w:hAnsi="Cambria Math" w:cs="Arial"/>
                        <w:i/>
                        <w:szCs w:val="24"/>
                      </w:rPr>
                    </m:ctrlPr>
                  </m:sSubPr>
                  <m:e>
                    <m:acc>
                      <m:accPr>
                        <m:chr m:val="̇"/>
                        <m:ctrlPr>
                          <w:rPr>
                            <w:rFonts w:ascii="Cambria Math" w:hAnsi="Cambria Math" w:cs="Arial"/>
                            <w:i/>
                            <w:szCs w:val="24"/>
                          </w:rPr>
                        </m:ctrlPr>
                      </m:accPr>
                      <m:e>
                        <m:r>
                          <w:rPr>
                            <w:rFonts w:ascii="Cambria Math" w:hAnsi="Cambria Math" w:cs="Arial"/>
                            <w:szCs w:val="24"/>
                          </w:rPr>
                          <m:t>E</m:t>
                        </m:r>
                      </m:e>
                    </m:acc>
                  </m:e>
                  <m:sub>
                    <m:r>
                      <w:rPr>
                        <w:rFonts w:ascii="Cambria Math" w:hAnsi="Cambria Math" w:cs="Arial"/>
                        <w:szCs w:val="24"/>
                      </w:rPr>
                      <m:t>Solução</m:t>
                    </m:r>
                  </m:sub>
                </m:sSub>
                <m:r>
                  <w:rPr>
                    <w:rFonts w:ascii="Cambria Math" w:hAnsi="Cambria Math" w:cs="Arial"/>
                    <w:szCs w:val="24"/>
                  </w:rPr>
                  <m:t>=</m:t>
                </m:r>
                <m:nary>
                  <m:naryPr>
                    <m:chr m:val="∑"/>
                    <m:limLoc m:val="undOvr"/>
                    <m:ctrlPr>
                      <w:rPr>
                        <w:rFonts w:ascii="Cambria Math" w:hAnsi="Cambria Math" w:cs="Arial"/>
                        <w:i/>
                        <w:szCs w:val="24"/>
                      </w:rPr>
                    </m:ctrlPr>
                  </m:naryPr>
                  <m:sub>
                    <m:r>
                      <w:rPr>
                        <w:rFonts w:ascii="Cambria Math" w:hAnsi="Cambria Math" w:cs="Arial"/>
                        <w:szCs w:val="24"/>
                      </w:rPr>
                      <m:t>i=0</m:t>
                    </m:r>
                  </m:sub>
                  <m:sup>
                    <m:r>
                      <w:rPr>
                        <w:rFonts w:ascii="Cambria Math" w:hAnsi="Cambria Math" w:cs="Arial"/>
                        <w:szCs w:val="24"/>
                      </w:rPr>
                      <m:t>n</m:t>
                    </m:r>
                  </m:sup>
                  <m:e>
                    <m:r>
                      <w:rPr>
                        <w:rFonts w:ascii="Cambria Math" w:hAnsi="Cambria Math" w:cs="Arial"/>
                        <w:szCs w:val="24"/>
                      </w:rPr>
                      <m:t>W×∆</m:t>
                    </m:r>
                    <m:sSub>
                      <m:sSubPr>
                        <m:ctrlPr>
                          <w:rPr>
                            <w:rFonts w:ascii="Cambria Math" w:hAnsi="Cambria Math" w:cs="Arial"/>
                            <w:i/>
                            <w:szCs w:val="24"/>
                          </w:rPr>
                        </m:ctrlPr>
                      </m:sSubPr>
                      <m:e>
                        <m:r>
                          <w:rPr>
                            <w:rFonts w:ascii="Cambria Math" w:hAnsi="Cambria Math" w:cs="Arial"/>
                            <w:szCs w:val="24"/>
                          </w:rPr>
                          <m:t>t</m:t>
                        </m:r>
                      </m:e>
                      <m:sub>
                        <m:r>
                          <w:rPr>
                            <w:rFonts w:ascii="Cambria Math" w:hAnsi="Cambria Math" w:cs="Arial"/>
                            <w:szCs w:val="24"/>
                          </w:rPr>
                          <m:t>i</m:t>
                        </m:r>
                      </m:sub>
                    </m:sSub>
                  </m:e>
                </m:nary>
              </m:oMath>
            </m:oMathPara>
          </w:p>
        </w:tc>
        <w:tc>
          <w:tcPr>
            <w:tcW w:w="676" w:type="dxa"/>
            <w:tcBorders>
              <w:top w:val="nil"/>
              <w:left w:val="nil"/>
              <w:bottom w:val="nil"/>
              <w:right w:val="nil"/>
            </w:tcBorders>
            <w:vAlign w:val="center"/>
          </w:tcPr>
          <w:p w:rsidR="003B28CC" w:rsidRDefault="004B4591" w:rsidP="001144AF">
            <w:pPr>
              <w:keepNext/>
              <w:autoSpaceDE w:val="0"/>
              <w:autoSpaceDN w:val="0"/>
              <w:adjustRightInd w:val="0"/>
              <w:contextualSpacing w:val="0"/>
              <w:jc w:val="center"/>
              <w:rPr>
                <w:rFonts w:cs="Arial"/>
                <w:szCs w:val="24"/>
              </w:rPr>
            </w:pPr>
            <w:r>
              <w:rPr>
                <w:rFonts w:cs="Arial"/>
                <w:szCs w:val="24"/>
              </w:rPr>
              <w:t>(3</w:t>
            </w:r>
            <w:r w:rsidR="001144AF">
              <w:rPr>
                <w:rFonts w:cs="Arial"/>
                <w:szCs w:val="24"/>
              </w:rPr>
              <w:t>1</w:t>
            </w:r>
            <w:r w:rsidR="003B28CC">
              <w:rPr>
                <w:rFonts w:cs="Arial"/>
                <w:szCs w:val="24"/>
              </w:rPr>
              <w:t>)</w:t>
            </w:r>
          </w:p>
        </w:tc>
      </w:tr>
    </w:tbl>
    <w:p w:rsidR="003B28CC" w:rsidRDefault="00487DF7" w:rsidP="00487DF7">
      <w:pPr>
        <w:pStyle w:val="Legenda"/>
        <w:rPr>
          <w:color w:val="FFFFFF" w:themeColor="background1"/>
        </w:rPr>
      </w:pPr>
      <w:bookmarkStart w:id="109" w:name="_Ref488107796"/>
      <w:r w:rsidRPr="00487DF7">
        <w:rPr>
          <w:color w:val="FFFFFF" w:themeColor="background1"/>
        </w:rPr>
        <w:t xml:space="preserve">Equação </w:t>
      </w:r>
      <w:r w:rsidR="001144AF">
        <w:rPr>
          <w:color w:val="FFFFFF" w:themeColor="background1"/>
        </w:rPr>
        <w:fldChar w:fldCharType="begin"/>
      </w:r>
      <w:r w:rsidR="001144AF">
        <w:rPr>
          <w:color w:val="FFFFFF" w:themeColor="background1"/>
        </w:rPr>
        <w:instrText xml:space="preserve"> SEQ Equação \* ARABIC </w:instrText>
      </w:r>
      <w:r w:rsidR="001144AF">
        <w:rPr>
          <w:color w:val="FFFFFF" w:themeColor="background1"/>
        </w:rPr>
        <w:fldChar w:fldCharType="separate"/>
      </w:r>
      <w:r w:rsidR="001144AF">
        <w:rPr>
          <w:noProof/>
          <w:color w:val="FFFFFF" w:themeColor="background1"/>
        </w:rPr>
        <w:t>31</w:t>
      </w:r>
      <w:r w:rsidR="001144AF">
        <w:rPr>
          <w:color w:val="FFFFFF" w:themeColor="background1"/>
        </w:rPr>
        <w:fldChar w:fldCharType="end"/>
      </w:r>
      <w:bookmarkEnd w:id="109"/>
    </w:p>
    <w:p w:rsidR="00862B53" w:rsidRPr="00862B53" w:rsidRDefault="00862B53" w:rsidP="00862B53">
      <w:r w:rsidRPr="00862B53">
        <w:t>A economia de energia é obtida pela subtração das curvas de potência consumida pela água e de potência consumida pela solução com aditivo</w:t>
      </w:r>
      <w:r>
        <w:t xml:space="preserve"> (</w:t>
      </w:r>
      <w:r>
        <w:fldChar w:fldCharType="begin"/>
      </w:r>
      <w:r>
        <w:instrText xml:space="preserve"> REF _Ref488110061 \h  \* MERGEFORMAT </w:instrText>
      </w:r>
      <w:r>
        <w:fldChar w:fldCharType="separate"/>
      </w:r>
      <w:r w:rsidR="00380A8E" w:rsidRPr="00380A8E">
        <w:t xml:space="preserve">Equação </w:t>
      </w:r>
      <w:r w:rsidR="00380A8E" w:rsidRPr="00380A8E">
        <w:rPr>
          <w:noProof/>
        </w:rPr>
        <w:t>3</w:t>
      </w:r>
      <w:r>
        <w:fldChar w:fldCharType="end"/>
      </w:r>
      <w:r w:rsidR="001144AF">
        <w:t>2</w:t>
      </w:r>
      <w:r>
        <w:t>)</w:t>
      </w:r>
      <w:r w:rsidRPr="00862B53">
        <w:t xml:space="preserve">. </w:t>
      </w:r>
    </w:p>
    <w:tbl>
      <w:tblPr>
        <w:tblStyle w:val="Tabelacomgrade"/>
        <w:tblW w:w="0" w:type="auto"/>
        <w:tblCellMar>
          <w:left w:w="0" w:type="dxa"/>
          <w:right w:w="0" w:type="dxa"/>
        </w:tblCellMar>
        <w:tblLook w:val="04A0" w:firstRow="1" w:lastRow="0" w:firstColumn="1" w:lastColumn="0" w:noHBand="0" w:noVBand="1"/>
      </w:tblPr>
      <w:tblGrid>
        <w:gridCol w:w="8395"/>
        <w:gridCol w:w="676"/>
      </w:tblGrid>
      <w:tr w:rsidR="00862B53" w:rsidTr="003B7E6D">
        <w:tc>
          <w:tcPr>
            <w:tcW w:w="8395" w:type="dxa"/>
            <w:tcBorders>
              <w:top w:val="nil"/>
              <w:left w:val="nil"/>
              <w:bottom w:val="nil"/>
              <w:right w:val="nil"/>
            </w:tcBorders>
            <w:vAlign w:val="center"/>
          </w:tcPr>
          <w:p w:rsidR="00862B53" w:rsidRDefault="00D83C6E" w:rsidP="00862B53">
            <w:pPr>
              <w:autoSpaceDE w:val="0"/>
              <w:autoSpaceDN w:val="0"/>
              <w:adjustRightInd w:val="0"/>
              <w:spacing w:after="0"/>
              <w:contextualSpacing w:val="0"/>
              <w:rPr>
                <w:rFonts w:cs="Arial"/>
                <w:szCs w:val="24"/>
              </w:rPr>
            </w:pPr>
            <m:oMathPara>
              <m:oMath>
                <m:sSub>
                  <m:sSubPr>
                    <m:ctrlPr>
                      <w:rPr>
                        <w:rFonts w:ascii="Cambria Math" w:hAnsi="Cambria Math" w:cs="Arial"/>
                        <w:i/>
                        <w:szCs w:val="24"/>
                      </w:rPr>
                    </m:ctrlPr>
                  </m:sSubPr>
                  <m:e>
                    <m:acc>
                      <m:accPr>
                        <m:chr m:val="̇"/>
                        <m:ctrlPr>
                          <w:rPr>
                            <w:rFonts w:ascii="Cambria Math" w:hAnsi="Cambria Math" w:cs="Arial"/>
                            <w:i/>
                            <w:szCs w:val="24"/>
                          </w:rPr>
                        </m:ctrlPr>
                      </m:accPr>
                      <m:e>
                        <m:r>
                          <w:rPr>
                            <w:rFonts w:ascii="Cambria Math" w:hAnsi="Cambria Math" w:cs="Arial"/>
                            <w:szCs w:val="24"/>
                          </w:rPr>
                          <m:t>E</m:t>
                        </m:r>
                      </m:e>
                    </m:acc>
                  </m:e>
                  <m:sub>
                    <m:r>
                      <w:rPr>
                        <w:rFonts w:ascii="Cambria Math" w:hAnsi="Cambria Math" w:cs="Arial"/>
                        <w:szCs w:val="24"/>
                      </w:rPr>
                      <m:t>Economizada</m:t>
                    </m:r>
                  </m:sub>
                </m:sSub>
                <m:r>
                  <w:rPr>
                    <w:rFonts w:ascii="Cambria Math" w:hAnsi="Cambria Math" w:cs="Arial"/>
                    <w:szCs w:val="24"/>
                  </w:rPr>
                  <m:t>=</m:t>
                </m:r>
                <m:sSub>
                  <m:sSubPr>
                    <m:ctrlPr>
                      <w:rPr>
                        <w:rFonts w:ascii="Cambria Math" w:hAnsi="Cambria Math" w:cs="Arial"/>
                        <w:i/>
                        <w:szCs w:val="24"/>
                      </w:rPr>
                    </m:ctrlPr>
                  </m:sSubPr>
                  <m:e>
                    <m:acc>
                      <m:accPr>
                        <m:chr m:val="̇"/>
                        <m:ctrlPr>
                          <w:rPr>
                            <w:rFonts w:ascii="Cambria Math" w:hAnsi="Cambria Math" w:cs="Arial"/>
                            <w:i/>
                            <w:szCs w:val="24"/>
                          </w:rPr>
                        </m:ctrlPr>
                      </m:accPr>
                      <m:e>
                        <m:r>
                          <w:rPr>
                            <w:rFonts w:ascii="Cambria Math" w:hAnsi="Cambria Math" w:cs="Arial"/>
                            <w:szCs w:val="24"/>
                          </w:rPr>
                          <m:t>E</m:t>
                        </m:r>
                      </m:e>
                    </m:acc>
                  </m:e>
                  <m:sub>
                    <m:r>
                      <w:rPr>
                        <w:rFonts w:ascii="Cambria Math" w:hAnsi="Cambria Math" w:cs="Arial"/>
                        <w:szCs w:val="24"/>
                      </w:rPr>
                      <m:t>Água</m:t>
                    </m:r>
                  </m:sub>
                </m:sSub>
                <m:r>
                  <w:rPr>
                    <w:rFonts w:ascii="Cambria Math" w:hAnsi="Cambria Math" w:cs="Arial"/>
                    <w:szCs w:val="24"/>
                  </w:rPr>
                  <m:t>-</m:t>
                </m:r>
                <m:sSub>
                  <m:sSubPr>
                    <m:ctrlPr>
                      <w:rPr>
                        <w:rFonts w:ascii="Cambria Math" w:hAnsi="Cambria Math" w:cs="Arial"/>
                        <w:i/>
                        <w:szCs w:val="24"/>
                      </w:rPr>
                    </m:ctrlPr>
                  </m:sSubPr>
                  <m:e>
                    <m:acc>
                      <m:accPr>
                        <m:chr m:val="̇"/>
                        <m:ctrlPr>
                          <w:rPr>
                            <w:rFonts w:ascii="Cambria Math" w:hAnsi="Cambria Math" w:cs="Arial"/>
                            <w:i/>
                            <w:szCs w:val="24"/>
                          </w:rPr>
                        </m:ctrlPr>
                      </m:accPr>
                      <m:e>
                        <m:r>
                          <w:rPr>
                            <w:rFonts w:ascii="Cambria Math" w:hAnsi="Cambria Math" w:cs="Arial"/>
                            <w:szCs w:val="24"/>
                          </w:rPr>
                          <m:t>E</m:t>
                        </m:r>
                      </m:e>
                    </m:acc>
                  </m:e>
                  <m:sub>
                    <m:r>
                      <w:rPr>
                        <w:rFonts w:ascii="Cambria Math" w:hAnsi="Cambria Math" w:cs="Arial"/>
                        <w:szCs w:val="24"/>
                      </w:rPr>
                      <m:t>Solução</m:t>
                    </m:r>
                  </m:sub>
                </m:sSub>
              </m:oMath>
            </m:oMathPara>
          </w:p>
        </w:tc>
        <w:tc>
          <w:tcPr>
            <w:tcW w:w="676" w:type="dxa"/>
            <w:tcBorders>
              <w:top w:val="nil"/>
              <w:left w:val="nil"/>
              <w:bottom w:val="nil"/>
              <w:right w:val="nil"/>
            </w:tcBorders>
            <w:vAlign w:val="center"/>
          </w:tcPr>
          <w:p w:rsidR="00862B53" w:rsidRDefault="00862B53" w:rsidP="001144AF">
            <w:pPr>
              <w:keepNext/>
              <w:autoSpaceDE w:val="0"/>
              <w:autoSpaceDN w:val="0"/>
              <w:adjustRightInd w:val="0"/>
              <w:contextualSpacing w:val="0"/>
              <w:jc w:val="center"/>
              <w:rPr>
                <w:rFonts w:cs="Arial"/>
                <w:szCs w:val="24"/>
              </w:rPr>
            </w:pPr>
            <w:r>
              <w:rPr>
                <w:rFonts w:cs="Arial"/>
                <w:szCs w:val="24"/>
              </w:rPr>
              <w:t>(3</w:t>
            </w:r>
            <w:r w:rsidR="001144AF">
              <w:rPr>
                <w:rFonts w:cs="Arial"/>
                <w:szCs w:val="24"/>
              </w:rPr>
              <w:t>2</w:t>
            </w:r>
            <w:r>
              <w:rPr>
                <w:rFonts w:cs="Arial"/>
                <w:szCs w:val="24"/>
              </w:rPr>
              <w:t>)</w:t>
            </w:r>
          </w:p>
        </w:tc>
      </w:tr>
    </w:tbl>
    <w:p w:rsidR="00862B53" w:rsidRDefault="00862B53" w:rsidP="00766644">
      <w:pPr>
        <w:pStyle w:val="Legenda"/>
      </w:pPr>
      <w:bookmarkStart w:id="110" w:name="_Ref488110061"/>
      <w:r w:rsidRPr="00862B53">
        <w:rPr>
          <w:color w:val="FFFFFF" w:themeColor="background1"/>
        </w:rPr>
        <w:t xml:space="preserve">Equação </w:t>
      </w:r>
      <w:r w:rsidR="001144AF">
        <w:rPr>
          <w:color w:val="FFFFFF" w:themeColor="background1"/>
        </w:rPr>
        <w:fldChar w:fldCharType="begin"/>
      </w:r>
      <w:r w:rsidR="001144AF">
        <w:rPr>
          <w:color w:val="FFFFFF" w:themeColor="background1"/>
        </w:rPr>
        <w:instrText xml:space="preserve"> SEQ Equação \* ARABIC </w:instrText>
      </w:r>
      <w:r w:rsidR="001144AF">
        <w:rPr>
          <w:color w:val="FFFFFF" w:themeColor="background1"/>
        </w:rPr>
        <w:fldChar w:fldCharType="separate"/>
      </w:r>
      <w:r w:rsidR="001144AF">
        <w:rPr>
          <w:noProof/>
          <w:color w:val="FFFFFF" w:themeColor="background1"/>
        </w:rPr>
        <w:t>32</w:t>
      </w:r>
      <w:r w:rsidR="001144AF">
        <w:rPr>
          <w:color w:val="FFFFFF" w:themeColor="background1"/>
        </w:rPr>
        <w:fldChar w:fldCharType="end"/>
      </w:r>
      <w:bookmarkEnd w:id="110"/>
    </w:p>
    <w:p w:rsidR="008E147F" w:rsidRPr="007B4849" w:rsidRDefault="008E147F" w:rsidP="008E147F">
      <w:pPr>
        <w:pStyle w:val="Nvel2-PG"/>
        <w:jc w:val="both"/>
      </w:pPr>
      <w:bookmarkStart w:id="111" w:name="_Toc488678368"/>
      <w:r w:rsidRPr="007B4849">
        <w:t>3.</w:t>
      </w:r>
      <w:r w:rsidR="003E466A">
        <w:t>5</w:t>
      </w:r>
      <w:r>
        <w:t xml:space="preserve"> Análise das Incertezas</w:t>
      </w:r>
      <w:bookmarkEnd w:id="111"/>
    </w:p>
    <w:p w:rsidR="003632C8" w:rsidRPr="00766644" w:rsidRDefault="003E466A" w:rsidP="003E466A">
      <w:r>
        <w:t xml:space="preserve">É </w:t>
      </w:r>
      <w:r w:rsidRPr="003E466A">
        <w:t>importante</w:t>
      </w:r>
      <w:r>
        <w:t xml:space="preserve"> se conhecer </w:t>
      </w:r>
      <w:r w:rsidRPr="003E466A">
        <w:t>as incertezas experimentais relacionadas à</w:t>
      </w:r>
      <w:r w:rsidR="003632C8">
        <w:t>s medições</w:t>
      </w:r>
      <w:r w:rsidRPr="003E466A">
        <w:t xml:space="preserve"> de cada variáve</w:t>
      </w:r>
      <w:r>
        <w:t xml:space="preserve">l para buscar a compreensão do fenômeno estudado. A </w:t>
      </w:r>
      <w:r w:rsidR="003632C8">
        <w:t xml:space="preserve">análise de incertezas se divide na avaliação baseada em métodos estatísticos de tratamento de dados e em julgamentos científicos de medições anteriores, pois na maioria dos casos o </w:t>
      </w:r>
      <w:r w:rsidR="003632C8" w:rsidRPr="00766644">
        <w:t>que se deseja conhecer não é definido diretamente, mas determinado por outros fatores [3</w:t>
      </w:r>
      <w:r w:rsidR="00766644" w:rsidRPr="00766644">
        <w:t>6</w:t>
      </w:r>
      <w:r w:rsidR="003632C8" w:rsidRPr="00766644">
        <w:t>].</w:t>
      </w:r>
      <w:r w:rsidR="00105993" w:rsidRPr="00766644">
        <w:t xml:space="preserve"> </w:t>
      </w:r>
    </w:p>
    <w:p w:rsidR="00AA080E" w:rsidRPr="00862B53" w:rsidRDefault="00105993" w:rsidP="00105993">
      <w:pPr>
        <w:rPr>
          <w:rFonts w:eastAsiaTheme="minorEastAsia"/>
        </w:rPr>
      </w:pPr>
      <w:r w:rsidRPr="00766644">
        <w:t xml:space="preserve">O fator de atrito experimental expresso por meio da </w:t>
      </w:r>
      <w:r w:rsidR="00862B53" w:rsidRPr="00766644">
        <w:fldChar w:fldCharType="begin"/>
      </w:r>
      <w:r w:rsidR="00862B53" w:rsidRPr="00766644">
        <w:instrText xml:space="preserve"> REF _Ref488098501 \h </w:instrText>
      </w:r>
      <w:r w:rsidR="00862B53" w:rsidRPr="00766644">
        <w:fldChar w:fldCharType="separate"/>
      </w:r>
      <w:r w:rsidR="00380A8E" w:rsidRPr="00766644">
        <w:t xml:space="preserve">Equação </w:t>
      </w:r>
      <w:r w:rsidR="00380A8E" w:rsidRPr="00766644">
        <w:rPr>
          <w:noProof/>
        </w:rPr>
        <w:t>18</w:t>
      </w:r>
      <w:r w:rsidR="00862B53" w:rsidRPr="00766644">
        <w:fldChar w:fldCharType="end"/>
      </w:r>
      <w:r w:rsidRPr="00766644">
        <w:t xml:space="preserve"> é expresso em termos da queda de pressão ao longo </w:t>
      </w:r>
      <w:r w:rsidRPr="00862B53">
        <w:t xml:space="preserve">do trecho reto </w:t>
      </w:r>
      <m:oMath>
        <m:d>
          <m:dPr>
            <m:ctrlPr>
              <w:rPr>
                <w:rFonts w:ascii="Cambria Math" w:hAnsi="Cambria Math"/>
                <w:i/>
              </w:rPr>
            </m:ctrlPr>
          </m:dPr>
          <m:e>
            <m:f>
              <m:fPr>
                <m:ctrlPr>
                  <w:rPr>
                    <w:rFonts w:ascii="Cambria Math" w:hAnsi="Cambria Math"/>
                    <w:i/>
                  </w:rPr>
                </m:ctrlPr>
              </m:fPr>
              <m:num>
                <m:r>
                  <w:rPr>
                    <w:rFonts w:ascii="Cambria Math" w:hAnsi="Cambria Math"/>
                  </w:rPr>
                  <m:t>dP</m:t>
                </m:r>
              </m:num>
              <m:den>
                <m:r>
                  <w:rPr>
                    <w:rFonts w:ascii="Cambria Math" w:hAnsi="Cambria Math"/>
                  </w:rPr>
                  <m:t>d</m:t>
                </m:r>
                <m:r>
                  <m:rPr>
                    <m:sty m:val="b"/>
                  </m:rPr>
                  <w:rPr>
                    <w:rFonts w:ascii="Cambria Math" w:hAnsi="Cambria Math" w:cs="Arial"/>
                    <w:sz w:val="21"/>
                    <w:szCs w:val="21"/>
                    <w:shd w:val="clear" w:color="auto" w:fill="FFFFFF"/>
                  </w:rPr>
                  <m:t>l</m:t>
                </m:r>
              </m:den>
            </m:f>
          </m:e>
        </m:d>
        <m:r>
          <w:rPr>
            <w:rFonts w:ascii="Cambria Math" w:hAnsi="Cambria Math"/>
          </w:rPr>
          <m:t xml:space="preserve">, </m:t>
        </m:r>
      </m:oMath>
      <w:r w:rsidRPr="00862B53">
        <w:rPr>
          <w:rFonts w:eastAsiaTheme="minorEastAsia"/>
        </w:rPr>
        <w:t xml:space="preserve">onde as pressões são </w:t>
      </w:r>
      <w:r w:rsidR="00FE2862">
        <w:t xml:space="preserve">medidas pelos transdutores, </w:t>
      </w:r>
      <w:r w:rsidR="00FE2862" w:rsidRPr="00FE2862">
        <w:rPr>
          <w:rFonts w:ascii="Times New Roman" w:hAnsi="Times New Roman" w:cs="Times New Roman"/>
          <w:i/>
        </w:rPr>
        <w:t>l</w:t>
      </w:r>
      <w:r w:rsidR="00FE2862">
        <w:rPr>
          <w:rFonts w:ascii="Times New Roman" w:hAnsi="Times New Roman" w:cs="Times New Roman"/>
          <w:i/>
        </w:rPr>
        <w:t>,</w:t>
      </w:r>
      <w:r w:rsidR="00FE2862">
        <w:t xml:space="preserve"> a distância entre os transdutores de pressão pelo curso estipulado da fresadora utilizada para produzir os furos das tomadas de pressão</w:t>
      </w:r>
      <w:r w:rsidRPr="00862B53">
        <w:t xml:space="preserve">, do diâmetro </w:t>
      </w:r>
      <m:oMath>
        <m:d>
          <m:dPr>
            <m:ctrlPr>
              <w:rPr>
                <w:rFonts w:ascii="Cambria Math" w:hAnsi="Cambria Math"/>
                <w:i/>
              </w:rPr>
            </m:ctrlPr>
          </m:dPr>
          <m:e>
            <m:r>
              <w:rPr>
                <w:rFonts w:ascii="Cambria Math" w:hAnsi="Cambria Math"/>
              </w:rPr>
              <m:t>D</m:t>
            </m:r>
          </m:e>
        </m:d>
      </m:oMath>
      <w:r w:rsidRPr="00862B53">
        <w:rPr>
          <w:rFonts w:eastAsiaTheme="minorEastAsia"/>
        </w:rPr>
        <w:t xml:space="preserve">, medido por um paquímetro, da vazão </w:t>
      </w:r>
      <m:oMath>
        <m:d>
          <m:dPr>
            <m:ctrlPr>
              <w:rPr>
                <w:rFonts w:ascii="Cambria Math" w:hAnsi="Cambria Math"/>
                <w:i/>
              </w:rPr>
            </m:ctrlPr>
          </m:dPr>
          <m:e>
            <m:r>
              <w:rPr>
                <w:rFonts w:ascii="Cambria Math" w:hAnsi="Cambria Math"/>
              </w:rPr>
              <m:t>Q</m:t>
            </m:r>
          </m:e>
        </m:d>
      </m:oMath>
      <w:r w:rsidRPr="00862B53">
        <w:rPr>
          <w:rFonts w:eastAsiaTheme="minorEastAsia"/>
        </w:rPr>
        <w:t xml:space="preserve"> </w:t>
      </w:r>
      <w:r w:rsidR="00FE2862">
        <w:rPr>
          <w:rFonts w:eastAsiaTheme="minorEastAsia"/>
        </w:rPr>
        <w:t>medida</w:t>
      </w:r>
      <w:r w:rsidRPr="00862B53">
        <w:rPr>
          <w:rFonts w:eastAsiaTheme="minorEastAsia"/>
        </w:rPr>
        <w:t xml:space="preserve"> por um medidor de vazão eletromagnético e da massa específica </w:t>
      </w:r>
      <m:oMath>
        <m:d>
          <m:dPr>
            <m:ctrlPr>
              <w:rPr>
                <w:rFonts w:ascii="Cambria Math" w:hAnsi="Cambria Math"/>
                <w:i/>
              </w:rPr>
            </m:ctrlPr>
          </m:dPr>
          <m:e>
            <m:r>
              <w:rPr>
                <w:rFonts w:ascii="Cambria Math" w:hAnsi="Cambria Math"/>
              </w:rPr>
              <m:t>ρ</m:t>
            </m:r>
          </m:e>
        </m:d>
      </m:oMath>
      <w:r w:rsidRPr="00862B53">
        <w:rPr>
          <w:rFonts w:eastAsiaTheme="minorEastAsia"/>
        </w:rPr>
        <w:t>.</w:t>
      </w:r>
      <w:r w:rsidR="00AA080E" w:rsidRPr="00862B53">
        <w:rPr>
          <w:rFonts w:eastAsiaTheme="minorEastAsia"/>
        </w:rPr>
        <w:t xml:space="preserve"> Portanto as incertezas atreladas aos instrumentos e às medições devem ser computadas para cada um destes termos.</w:t>
      </w:r>
    </w:p>
    <w:p w:rsidR="00573549" w:rsidRDefault="00AA080E" w:rsidP="00105993">
      <w:pPr>
        <w:rPr>
          <w:rFonts w:eastAsiaTheme="minorEastAsia"/>
        </w:rPr>
      </w:pPr>
      <w:r>
        <w:rPr>
          <w:rFonts w:eastAsiaTheme="minorEastAsia"/>
        </w:rPr>
        <w:t xml:space="preserve">Os resultados medidos </w:t>
      </w:r>
      <w:r w:rsidR="00573549">
        <w:rPr>
          <w:rFonts w:eastAsiaTheme="minorEastAsia"/>
        </w:rPr>
        <w:t xml:space="preserve">com as suas respectivas incertezas </w:t>
      </w:r>
      <w:r>
        <w:rPr>
          <w:rFonts w:eastAsiaTheme="minorEastAsia"/>
        </w:rPr>
        <w:t xml:space="preserve">são expressos </w:t>
      </w:r>
      <w:r w:rsidR="00573549">
        <w:rPr>
          <w:rFonts w:eastAsiaTheme="minorEastAsia"/>
        </w:rPr>
        <w:t xml:space="preserve">na forma </w:t>
      </w:r>
      <w:r w:rsidR="00573549" w:rsidRPr="002855BE">
        <w:rPr>
          <w:rFonts w:eastAsiaTheme="minorEastAsia"/>
        </w:rPr>
        <w:t xml:space="preserve">representada pela </w:t>
      </w:r>
      <w:r w:rsidR="00862B53" w:rsidRPr="002855BE">
        <w:rPr>
          <w:rFonts w:eastAsiaTheme="minorEastAsia"/>
        </w:rPr>
        <w:fldChar w:fldCharType="begin"/>
      </w:r>
      <w:r w:rsidR="00862B53" w:rsidRPr="002855BE">
        <w:rPr>
          <w:rFonts w:eastAsiaTheme="minorEastAsia"/>
        </w:rPr>
        <w:instrText xml:space="preserve"> REF _Ref488110378 \h </w:instrText>
      </w:r>
      <w:r w:rsidR="00862B53" w:rsidRPr="002855BE">
        <w:rPr>
          <w:rFonts w:eastAsiaTheme="minorEastAsia"/>
        </w:rPr>
      </w:r>
      <w:r w:rsidR="00862B53" w:rsidRPr="002855BE">
        <w:rPr>
          <w:rFonts w:eastAsiaTheme="minorEastAsia"/>
        </w:rPr>
        <w:fldChar w:fldCharType="separate"/>
      </w:r>
      <w:r w:rsidR="00380A8E" w:rsidRPr="002855BE">
        <w:t xml:space="preserve">Equação </w:t>
      </w:r>
      <w:r w:rsidR="00380A8E" w:rsidRPr="002855BE">
        <w:rPr>
          <w:noProof/>
        </w:rPr>
        <w:t>32</w:t>
      </w:r>
      <w:r w:rsidR="00862B53" w:rsidRPr="002855BE">
        <w:rPr>
          <w:rFonts w:eastAsiaTheme="minorEastAsia"/>
        </w:rPr>
        <w:fldChar w:fldCharType="end"/>
      </w:r>
      <w:r w:rsidR="00862B53" w:rsidRPr="002855BE">
        <w:rPr>
          <w:rFonts w:eastAsiaTheme="minorEastAsia"/>
        </w:rPr>
        <w:t xml:space="preserve">, onde </w:t>
      </w:r>
      <m:oMath>
        <m:r>
          <w:rPr>
            <w:rFonts w:ascii="Cambria Math" w:hAnsi="Cambria Math" w:cs="Arial"/>
            <w:szCs w:val="24"/>
          </w:rPr>
          <m:t>G</m:t>
        </m:r>
      </m:oMath>
      <w:r w:rsidR="00862B53" w:rsidRPr="002855BE">
        <w:rPr>
          <w:rFonts w:eastAsiaTheme="minorEastAsia"/>
        </w:rPr>
        <w:t xml:space="preserve"> representa o valor da grandeza, </w:t>
      </w:r>
      <m:oMath>
        <m:sSub>
          <m:sSubPr>
            <m:ctrlPr>
              <w:rPr>
                <w:rFonts w:ascii="Cambria Math" w:hAnsi="Cambria Math" w:cs="Arial"/>
                <w:i/>
                <w:szCs w:val="24"/>
              </w:rPr>
            </m:ctrlPr>
          </m:sSubPr>
          <m:e>
            <m:r>
              <w:rPr>
                <w:rFonts w:ascii="Cambria Math" w:hAnsi="Cambria Math" w:cs="Arial"/>
                <w:szCs w:val="24"/>
              </w:rPr>
              <m:t>G</m:t>
            </m:r>
          </m:e>
          <m:sub>
            <m:r>
              <w:rPr>
                <w:rFonts w:ascii="Cambria Math" w:hAnsi="Cambria Math" w:cs="Arial"/>
                <w:szCs w:val="24"/>
              </w:rPr>
              <m:t>m</m:t>
            </m:r>
          </m:sub>
        </m:sSub>
      </m:oMath>
      <w:r w:rsidR="00862B53" w:rsidRPr="002855BE">
        <w:rPr>
          <w:rFonts w:eastAsiaTheme="minorEastAsia"/>
        </w:rPr>
        <w:t xml:space="preserve"> o valor </w:t>
      </w:r>
      <w:r w:rsidR="00862B53">
        <w:rPr>
          <w:rFonts w:eastAsiaTheme="minorEastAsia"/>
        </w:rPr>
        <w:t xml:space="preserve">medido ou calculado e </w:t>
      </w:r>
      <m:oMath>
        <m:r>
          <w:rPr>
            <w:rFonts w:ascii="Cambria Math" w:hAnsi="Cambria Math" w:cs="Arial"/>
            <w:szCs w:val="24"/>
          </w:rPr>
          <m:t>∂G</m:t>
        </m:r>
      </m:oMath>
      <w:r w:rsidR="00862B53" w:rsidRPr="00573549">
        <w:rPr>
          <w:rFonts w:eastAsiaTheme="minorEastAsia"/>
        </w:rPr>
        <w:t xml:space="preserve"> a incerteza desta medição.</w:t>
      </w:r>
    </w:p>
    <w:tbl>
      <w:tblPr>
        <w:tblStyle w:val="Tabelacomgrade"/>
        <w:tblW w:w="0" w:type="auto"/>
        <w:tblCellMar>
          <w:left w:w="0" w:type="dxa"/>
          <w:right w:w="0" w:type="dxa"/>
        </w:tblCellMar>
        <w:tblLook w:val="04A0" w:firstRow="1" w:lastRow="0" w:firstColumn="1" w:lastColumn="0" w:noHBand="0" w:noVBand="1"/>
      </w:tblPr>
      <w:tblGrid>
        <w:gridCol w:w="8395"/>
        <w:gridCol w:w="676"/>
      </w:tblGrid>
      <w:tr w:rsidR="00573549" w:rsidTr="00C75E31">
        <w:tc>
          <w:tcPr>
            <w:tcW w:w="8395" w:type="dxa"/>
            <w:tcBorders>
              <w:top w:val="nil"/>
              <w:left w:val="nil"/>
              <w:bottom w:val="nil"/>
              <w:right w:val="nil"/>
            </w:tcBorders>
            <w:vAlign w:val="center"/>
          </w:tcPr>
          <w:p w:rsidR="00573549" w:rsidRDefault="00573549" w:rsidP="00862B53">
            <w:pPr>
              <w:autoSpaceDE w:val="0"/>
              <w:autoSpaceDN w:val="0"/>
              <w:adjustRightInd w:val="0"/>
              <w:spacing w:after="0" w:line="240" w:lineRule="auto"/>
              <w:contextualSpacing w:val="0"/>
              <w:rPr>
                <w:rFonts w:cs="Arial"/>
                <w:szCs w:val="24"/>
              </w:rPr>
            </w:pPr>
            <m:oMathPara>
              <m:oMath>
                <m:r>
                  <w:rPr>
                    <w:rFonts w:ascii="Cambria Math" w:hAnsi="Cambria Math" w:cs="Arial"/>
                    <w:szCs w:val="24"/>
                  </w:rPr>
                  <m:t>G=</m:t>
                </m:r>
                <m:sSub>
                  <m:sSubPr>
                    <m:ctrlPr>
                      <w:rPr>
                        <w:rFonts w:ascii="Cambria Math" w:hAnsi="Cambria Math" w:cs="Arial"/>
                        <w:i/>
                        <w:szCs w:val="24"/>
                      </w:rPr>
                    </m:ctrlPr>
                  </m:sSubPr>
                  <m:e>
                    <m:r>
                      <w:rPr>
                        <w:rFonts w:ascii="Cambria Math" w:hAnsi="Cambria Math" w:cs="Arial"/>
                        <w:szCs w:val="24"/>
                      </w:rPr>
                      <m:t>G</m:t>
                    </m:r>
                  </m:e>
                  <m:sub>
                    <m:r>
                      <w:rPr>
                        <w:rFonts w:ascii="Cambria Math" w:hAnsi="Cambria Math" w:cs="Arial"/>
                        <w:szCs w:val="24"/>
                      </w:rPr>
                      <m:t>m</m:t>
                    </m:r>
                  </m:sub>
                </m:sSub>
                <m:r>
                  <w:rPr>
                    <w:rFonts w:ascii="Cambria Math" w:hAnsi="Cambria Math" w:cs="Arial"/>
                    <w:szCs w:val="24"/>
                  </w:rPr>
                  <m:t>+∂G</m:t>
                </m:r>
              </m:oMath>
            </m:oMathPara>
          </w:p>
        </w:tc>
        <w:tc>
          <w:tcPr>
            <w:tcW w:w="676" w:type="dxa"/>
            <w:tcBorders>
              <w:top w:val="nil"/>
              <w:left w:val="nil"/>
              <w:bottom w:val="nil"/>
              <w:right w:val="nil"/>
            </w:tcBorders>
            <w:vAlign w:val="center"/>
          </w:tcPr>
          <w:p w:rsidR="00573549" w:rsidRDefault="00573549" w:rsidP="00862B53">
            <w:pPr>
              <w:keepNext/>
              <w:autoSpaceDE w:val="0"/>
              <w:autoSpaceDN w:val="0"/>
              <w:adjustRightInd w:val="0"/>
              <w:spacing w:after="0" w:line="240" w:lineRule="auto"/>
              <w:contextualSpacing w:val="0"/>
              <w:jc w:val="center"/>
              <w:rPr>
                <w:rFonts w:cs="Arial"/>
                <w:szCs w:val="24"/>
              </w:rPr>
            </w:pPr>
            <w:r>
              <w:rPr>
                <w:rFonts w:cs="Arial"/>
                <w:szCs w:val="24"/>
              </w:rPr>
              <w:t>(</w:t>
            </w:r>
            <w:r w:rsidR="00862B53">
              <w:rPr>
                <w:rFonts w:cs="Arial"/>
                <w:szCs w:val="24"/>
              </w:rPr>
              <w:t>32</w:t>
            </w:r>
            <w:r>
              <w:rPr>
                <w:rFonts w:cs="Arial"/>
                <w:szCs w:val="24"/>
              </w:rPr>
              <w:t>)</w:t>
            </w:r>
          </w:p>
        </w:tc>
      </w:tr>
    </w:tbl>
    <w:p w:rsidR="00573549" w:rsidRPr="00862B53" w:rsidRDefault="00862B53" w:rsidP="00862B53">
      <w:pPr>
        <w:pStyle w:val="Legenda"/>
        <w:rPr>
          <w:rFonts w:eastAsiaTheme="minorEastAsia"/>
          <w:color w:val="FFFFFF" w:themeColor="background1"/>
        </w:rPr>
      </w:pPr>
      <w:bookmarkStart w:id="112" w:name="_Ref488110378"/>
      <w:r w:rsidRPr="00862B53">
        <w:rPr>
          <w:color w:val="FFFFFF" w:themeColor="background1"/>
        </w:rPr>
        <w:t xml:space="preserve">Equação </w:t>
      </w:r>
      <w:r w:rsidR="001144AF">
        <w:rPr>
          <w:color w:val="FFFFFF" w:themeColor="background1"/>
        </w:rPr>
        <w:fldChar w:fldCharType="begin"/>
      </w:r>
      <w:r w:rsidR="001144AF">
        <w:rPr>
          <w:color w:val="FFFFFF" w:themeColor="background1"/>
        </w:rPr>
        <w:instrText xml:space="preserve"> SEQ Equação \* ARABIC </w:instrText>
      </w:r>
      <w:r w:rsidR="001144AF">
        <w:rPr>
          <w:color w:val="FFFFFF" w:themeColor="background1"/>
        </w:rPr>
        <w:fldChar w:fldCharType="separate"/>
      </w:r>
      <w:r w:rsidR="00FE2862">
        <w:rPr>
          <w:noProof/>
          <w:color w:val="FFFFFF" w:themeColor="background1"/>
        </w:rPr>
        <w:t>33</w:t>
      </w:r>
      <w:r w:rsidR="001144AF">
        <w:rPr>
          <w:color w:val="FFFFFF" w:themeColor="background1"/>
        </w:rPr>
        <w:fldChar w:fldCharType="end"/>
      </w:r>
      <w:bookmarkEnd w:id="112"/>
    </w:p>
    <w:p w:rsidR="00573549" w:rsidRDefault="00573549" w:rsidP="00105993">
      <w:pPr>
        <w:rPr>
          <w:rFonts w:eastAsiaTheme="minorEastAsia"/>
        </w:rPr>
      </w:pPr>
      <w:r>
        <w:rPr>
          <w:rFonts w:eastAsiaTheme="minorEastAsia"/>
        </w:rPr>
        <w:t xml:space="preserve">A incerteza total relativa ao fator de atrito experimental pode ser expressa </w:t>
      </w:r>
      <w:r w:rsidRPr="00573549">
        <w:rPr>
          <w:rFonts w:eastAsiaTheme="minorEastAsia"/>
        </w:rPr>
        <w:t xml:space="preserve">de </w:t>
      </w:r>
      <w:r>
        <w:rPr>
          <w:rFonts w:eastAsiaTheme="minorEastAsia"/>
        </w:rPr>
        <w:t xml:space="preserve">acordo </w:t>
      </w:r>
      <w:r w:rsidRPr="002855BE">
        <w:rPr>
          <w:rFonts w:eastAsiaTheme="minorEastAsia"/>
        </w:rPr>
        <w:t xml:space="preserve">com a fórmula quadrática apresentada na </w:t>
      </w:r>
      <w:r w:rsidR="00862B53" w:rsidRPr="002855BE">
        <w:rPr>
          <w:rFonts w:eastAsiaTheme="minorEastAsia"/>
        </w:rPr>
        <w:fldChar w:fldCharType="begin"/>
      </w:r>
      <w:r w:rsidR="00862B53" w:rsidRPr="002855BE">
        <w:rPr>
          <w:rFonts w:eastAsiaTheme="minorEastAsia"/>
        </w:rPr>
        <w:instrText xml:space="preserve"> REF _Ref488110453 \h </w:instrText>
      </w:r>
      <w:r w:rsidR="00862B53" w:rsidRPr="002855BE">
        <w:rPr>
          <w:rFonts w:eastAsiaTheme="minorEastAsia"/>
        </w:rPr>
      </w:r>
      <w:r w:rsidR="00862B53" w:rsidRPr="002855BE">
        <w:rPr>
          <w:rFonts w:eastAsiaTheme="minorEastAsia"/>
        </w:rPr>
        <w:fldChar w:fldCharType="separate"/>
      </w:r>
      <w:r w:rsidR="00380A8E" w:rsidRPr="002855BE">
        <w:t xml:space="preserve">Equação </w:t>
      </w:r>
      <w:r w:rsidR="00380A8E" w:rsidRPr="002855BE">
        <w:rPr>
          <w:noProof/>
        </w:rPr>
        <w:t>33</w:t>
      </w:r>
      <w:r w:rsidR="00862B53" w:rsidRPr="002855BE">
        <w:rPr>
          <w:rFonts w:eastAsiaTheme="minorEastAsia"/>
        </w:rPr>
        <w:fldChar w:fldCharType="end"/>
      </w:r>
      <w:r w:rsidRPr="002855BE">
        <w:rPr>
          <w:rFonts w:eastAsiaTheme="minorEastAsia"/>
        </w:rPr>
        <w:t xml:space="preserve">, pois as variáveis que </w:t>
      </w:r>
      <w:r w:rsidR="009E629B" w:rsidRPr="002855BE">
        <w:rPr>
          <w:rFonts w:eastAsiaTheme="minorEastAsia"/>
        </w:rPr>
        <w:t xml:space="preserve">a </w:t>
      </w:r>
      <w:r>
        <w:rPr>
          <w:rFonts w:eastAsiaTheme="minorEastAsia"/>
        </w:rPr>
        <w:t>compõe</w:t>
      </w:r>
      <w:r w:rsidR="009E629B">
        <w:rPr>
          <w:rFonts w:eastAsiaTheme="minorEastAsia"/>
        </w:rPr>
        <w:t>m são</w:t>
      </w:r>
      <w:r>
        <w:rPr>
          <w:rFonts w:eastAsiaTheme="minorEastAsia"/>
        </w:rPr>
        <w:t xml:space="preserve"> </w:t>
      </w:r>
      <w:r w:rsidR="009E629B">
        <w:rPr>
          <w:rFonts w:eastAsiaTheme="minorEastAsia"/>
        </w:rPr>
        <w:t xml:space="preserve">independentes. </w:t>
      </w:r>
    </w:p>
    <w:tbl>
      <w:tblPr>
        <w:tblStyle w:val="Tabelacomgrade"/>
        <w:tblW w:w="0" w:type="auto"/>
        <w:tblCellMar>
          <w:left w:w="0" w:type="dxa"/>
          <w:right w:w="0" w:type="dxa"/>
        </w:tblCellMar>
        <w:tblLook w:val="04A0" w:firstRow="1" w:lastRow="0" w:firstColumn="1" w:lastColumn="0" w:noHBand="0" w:noVBand="1"/>
      </w:tblPr>
      <w:tblGrid>
        <w:gridCol w:w="8395"/>
        <w:gridCol w:w="676"/>
      </w:tblGrid>
      <w:tr w:rsidR="009E629B" w:rsidRPr="00862B53" w:rsidTr="00C75E31">
        <w:tc>
          <w:tcPr>
            <w:tcW w:w="8395" w:type="dxa"/>
            <w:tcBorders>
              <w:top w:val="nil"/>
              <w:left w:val="nil"/>
              <w:bottom w:val="nil"/>
              <w:right w:val="nil"/>
            </w:tcBorders>
            <w:vAlign w:val="center"/>
          </w:tcPr>
          <w:p w:rsidR="009E629B" w:rsidRPr="00862B53" w:rsidRDefault="009E629B" w:rsidP="00862B53">
            <w:pPr>
              <w:autoSpaceDE w:val="0"/>
              <w:autoSpaceDN w:val="0"/>
              <w:adjustRightInd w:val="0"/>
              <w:spacing w:after="0" w:line="240" w:lineRule="auto"/>
              <w:contextualSpacing w:val="0"/>
              <w:rPr>
                <w:rFonts w:ascii="Cambria Math" w:hAnsi="Cambria Math" w:cs="Arial"/>
                <w:i/>
                <w:szCs w:val="24"/>
              </w:rPr>
            </w:pPr>
            <m:oMathPara>
              <m:oMath>
                <m:r>
                  <w:rPr>
                    <w:rFonts w:ascii="Cambria Math" w:hAnsi="Cambria Math" w:cs="Arial"/>
                    <w:szCs w:val="24"/>
                  </w:rPr>
                  <w:lastRenderedPageBreak/>
                  <m:t>∂</m:t>
                </m:r>
                <m:sSub>
                  <m:sSubPr>
                    <m:ctrlPr>
                      <w:rPr>
                        <w:rFonts w:ascii="Cambria Math" w:hAnsi="Cambria Math" w:cs="Arial"/>
                        <w:i/>
                        <w:szCs w:val="24"/>
                      </w:rPr>
                    </m:ctrlPr>
                  </m:sSubPr>
                  <m:e>
                    <m:r>
                      <w:rPr>
                        <w:rFonts w:ascii="Cambria Math" w:hAnsi="Cambria Math" w:cs="Arial"/>
                        <w:szCs w:val="24"/>
                      </w:rPr>
                      <m:t>G</m:t>
                    </m:r>
                  </m:e>
                  <m:sub>
                    <m:r>
                      <w:rPr>
                        <w:rFonts w:ascii="Cambria Math" w:hAnsi="Cambria Math" w:cs="Arial"/>
                        <w:szCs w:val="24"/>
                      </w:rPr>
                      <m:t>m</m:t>
                    </m:r>
                  </m:sub>
                </m:sSub>
                <m:r>
                  <w:rPr>
                    <w:rFonts w:ascii="Cambria Math" w:hAnsi="Cambria Math" w:cs="Arial"/>
                    <w:szCs w:val="24"/>
                  </w:rPr>
                  <m:t>=</m:t>
                </m:r>
                <m:rad>
                  <m:radPr>
                    <m:degHide m:val="1"/>
                    <m:ctrlPr>
                      <w:rPr>
                        <w:rFonts w:ascii="Cambria Math" w:hAnsi="Cambria Math" w:cs="Arial"/>
                        <w:i/>
                        <w:szCs w:val="24"/>
                      </w:rPr>
                    </m:ctrlPr>
                  </m:radPr>
                  <m:deg/>
                  <m:e>
                    <m:sSup>
                      <m:sSupPr>
                        <m:ctrlPr>
                          <w:rPr>
                            <w:rFonts w:ascii="Cambria Math" w:hAnsi="Cambria Math" w:cs="Arial"/>
                            <w:i/>
                            <w:szCs w:val="24"/>
                          </w:rPr>
                        </m:ctrlPr>
                      </m:sSupPr>
                      <m:e>
                        <m:d>
                          <m:dPr>
                            <m:begChr m:val="["/>
                            <m:endChr m:val="]"/>
                            <m:ctrlPr>
                              <w:rPr>
                                <w:rFonts w:ascii="Cambria Math" w:hAnsi="Cambria Math" w:cs="Arial"/>
                                <w:i/>
                                <w:szCs w:val="24"/>
                              </w:rPr>
                            </m:ctrlPr>
                          </m:dPr>
                          <m:e>
                            <m:sSub>
                              <m:sSubPr>
                                <m:ctrlPr>
                                  <w:rPr>
                                    <w:rFonts w:ascii="Cambria Math" w:hAnsi="Cambria Math" w:cs="Arial"/>
                                    <w:i/>
                                    <w:szCs w:val="24"/>
                                  </w:rPr>
                                </m:ctrlPr>
                              </m:sSubPr>
                              <m:e>
                                <m:d>
                                  <m:dPr>
                                    <m:ctrlPr>
                                      <w:rPr>
                                        <w:rFonts w:ascii="Cambria Math" w:hAnsi="Cambria Math" w:cs="Arial"/>
                                        <w:i/>
                                        <w:szCs w:val="24"/>
                                      </w:rPr>
                                    </m:ctrlPr>
                                  </m:dPr>
                                  <m:e>
                                    <m:f>
                                      <m:fPr>
                                        <m:ctrlPr>
                                          <w:rPr>
                                            <w:rFonts w:ascii="Cambria Math" w:hAnsi="Cambria Math" w:cs="Arial"/>
                                            <w:i/>
                                            <w:szCs w:val="24"/>
                                          </w:rPr>
                                        </m:ctrlPr>
                                      </m:fPr>
                                      <m:num>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G</m:t>
                                            </m:r>
                                          </m:e>
                                          <m:sub>
                                            <m:r>
                                              <w:rPr>
                                                <w:rFonts w:ascii="Cambria Math" w:hAnsi="Cambria Math" w:cs="Arial"/>
                                                <w:szCs w:val="24"/>
                                              </w:rPr>
                                              <m:t>m</m:t>
                                            </m:r>
                                          </m:sub>
                                        </m:sSub>
                                      </m:num>
                                      <m:den>
                                        <m:r>
                                          <w:rPr>
                                            <w:rFonts w:ascii="Cambria Math" w:hAnsi="Cambria Math" w:cs="Arial"/>
                                            <w:szCs w:val="24"/>
                                          </w:rPr>
                                          <m:t>dx</m:t>
                                        </m:r>
                                      </m:den>
                                    </m:f>
                                  </m:e>
                                </m:d>
                              </m:e>
                              <m:sub>
                                <m:r>
                                  <w:rPr>
                                    <w:rFonts w:ascii="Cambria Math" w:hAnsi="Cambria Math" w:cs="Arial"/>
                                    <w:szCs w:val="24"/>
                                  </w:rPr>
                                  <m:t>y,…,z</m:t>
                                </m:r>
                              </m:sub>
                            </m:sSub>
                            <m:r>
                              <w:rPr>
                                <w:rFonts w:ascii="Cambria Math" w:hAnsi="Cambria Math" w:cs="Arial"/>
                                <w:szCs w:val="24"/>
                              </w:rPr>
                              <m:t>∂x</m:t>
                            </m:r>
                          </m:e>
                        </m:d>
                      </m:e>
                      <m:sup>
                        <m:r>
                          <w:rPr>
                            <w:rFonts w:ascii="Cambria Math" w:hAnsi="Cambria Math" w:cs="Arial"/>
                            <w:szCs w:val="24"/>
                          </w:rPr>
                          <m:t>2</m:t>
                        </m:r>
                      </m:sup>
                    </m:sSup>
                    <m:r>
                      <w:rPr>
                        <w:rFonts w:ascii="Cambria Math" w:hAnsi="Cambria Math" w:cs="Arial"/>
                        <w:szCs w:val="24"/>
                      </w:rPr>
                      <m:t>+</m:t>
                    </m:r>
                    <m:sSup>
                      <m:sSupPr>
                        <m:ctrlPr>
                          <w:rPr>
                            <w:rFonts w:ascii="Cambria Math" w:hAnsi="Cambria Math" w:cs="Arial"/>
                            <w:i/>
                            <w:szCs w:val="24"/>
                          </w:rPr>
                        </m:ctrlPr>
                      </m:sSupPr>
                      <m:e>
                        <m:d>
                          <m:dPr>
                            <m:begChr m:val="["/>
                            <m:endChr m:val="]"/>
                            <m:ctrlPr>
                              <w:rPr>
                                <w:rFonts w:ascii="Cambria Math" w:hAnsi="Cambria Math" w:cs="Arial"/>
                                <w:i/>
                                <w:szCs w:val="24"/>
                              </w:rPr>
                            </m:ctrlPr>
                          </m:dPr>
                          <m:e>
                            <m:sSub>
                              <m:sSubPr>
                                <m:ctrlPr>
                                  <w:rPr>
                                    <w:rFonts w:ascii="Cambria Math" w:hAnsi="Cambria Math" w:cs="Arial"/>
                                    <w:i/>
                                    <w:szCs w:val="24"/>
                                  </w:rPr>
                                </m:ctrlPr>
                              </m:sSubPr>
                              <m:e>
                                <m:d>
                                  <m:dPr>
                                    <m:ctrlPr>
                                      <w:rPr>
                                        <w:rFonts w:ascii="Cambria Math" w:hAnsi="Cambria Math" w:cs="Arial"/>
                                        <w:i/>
                                        <w:szCs w:val="24"/>
                                      </w:rPr>
                                    </m:ctrlPr>
                                  </m:dPr>
                                  <m:e>
                                    <m:f>
                                      <m:fPr>
                                        <m:ctrlPr>
                                          <w:rPr>
                                            <w:rFonts w:ascii="Cambria Math" w:hAnsi="Cambria Math" w:cs="Arial"/>
                                            <w:i/>
                                            <w:szCs w:val="24"/>
                                          </w:rPr>
                                        </m:ctrlPr>
                                      </m:fPr>
                                      <m:num>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G</m:t>
                                            </m:r>
                                          </m:e>
                                          <m:sub>
                                            <m:r>
                                              <w:rPr>
                                                <w:rFonts w:ascii="Cambria Math" w:hAnsi="Cambria Math" w:cs="Arial"/>
                                                <w:szCs w:val="24"/>
                                              </w:rPr>
                                              <m:t>m</m:t>
                                            </m:r>
                                          </m:sub>
                                        </m:sSub>
                                      </m:num>
                                      <m:den>
                                        <m:r>
                                          <w:rPr>
                                            <w:rFonts w:ascii="Cambria Math" w:hAnsi="Cambria Math" w:cs="Arial"/>
                                            <w:szCs w:val="24"/>
                                          </w:rPr>
                                          <m:t>dy</m:t>
                                        </m:r>
                                      </m:den>
                                    </m:f>
                                  </m:e>
                                </m:d>
                              </m:e>
                              <m:sub>
                                <m:r>
                                  <w:rPr>
                                    <w:rFonts w:ascii="Cambria Math" w:hAnsi="Cambria Math" w:cs="Arial"/>
                                    <w:szCs w:val="24"/>
                                  </w:rPr>
                                  <m:t>x,…,z</m:t>
                                </m:r>
                              </m:sub>
                            </m:sSub>
                            <m:r>
                              <w:rPr>
                                <w:rFonts w:ascii="Cambria Math" w:hAnsi="Cambria Math" w:cs="Arial"/>
                                <w:szCs w:val="24"/>
                              </w:rPr>
                              <m:t>∂y</m:t>
                            </m:r>
                          </m:e>
                        </m:d>
                      </m:e>
                      <m:sup>
                        <m:r>
                          <w:rPr>
                            <w:rFonts w:ascii="Cambria Math" w:hAnsi="Cambria Math" w:cs="Arial"/>
                            <w:szCs w:val="24"/>
                          </w:rPr>
                          <m:t>2</m:t>
                        </m:r>
                      </m:sup>
                    </m:sSup>
                    <m:r>
                      <w:rPr>
                        <w:rFonts w:ascii="Cambria Math" w:hAnsi="Cambria Math" w:cs="Arial"/>
                        <w:szCs w:val="24"/>
                      </w:rPr>
                      <m:t>+</m:t>
                    </m:r>
                    <m:sSup>
                      <m:sSupPr>
                        <m:ctrlPr>
                          <w:rPr>
                            <w:rFonts w:ascii="Cambria Math" w:hAnsi="Cambria Math" w:cs="Arial"/>
                            <w:i/>
                            <w:szCs w:val="24"/>
                          </w:rPr>
                        </m:ctrlPr>
                      </m:sSupPr>
                      <m:e>
                        <m:d>
                          <m:dPr>
                            <m:begChr m:val="["/>
                            <m:endChr m:val="]"/>
                            <m:ctrlPr>
                              <w:rPr>
                                <w:rFonts w:ascii="Cambria Math" w:hAnsi="Cambria Math" w:cs="Arial"/>
                                <w:i/>
                                <w:szCs w:val="24"/>
                              </w:rPr>
                            </m:ctrlPr>
                          </m:dPr>
                          <m:e>
                            <m:sSub>
                              <m:sSubPr>
                                <m:ctrlPr>
                                  <w:rPr>
                                    <w:rFonts w:ascii="Cambria Math" w:hAnsi="Cambria Math" w:cs="Arial"/>
                                    <w:i/>
                                    <w:szCs w:val="24"/>
                                  </w:rPr>
                                </m:ctrlPr>
                              </m:sSubPr>
                              <m:e>
                                <m:d>
                                  <m:dPr>
                                    <m:ctrlPr>
                                      <w:rPr>
                                        <w:rFonts w:ascii="Cambria Math" w:hAnsi="Cambria Math" w:cs="Arial"/>
                                        <w:i/>
                                        <w:szCs w:val="24"/>
                                      </w:rPr>
                                    </m:ctrlPr>
                                  </m:dPr>
                                  <m:e>
                                    <m:f>
                                      <m:fPr>
                                        <m:ctrlPr>
                                          <w:rPr>
                                            <w:rFonts w:ascii="Cambria Math" w:hAnsi="Cambria Math" w:cs="Arial"/>
                                            <w:i/>
                                            <w:szCs w:val="24"/>
                                          </w:rPr>
                                        </m:ctrlPr>
                                      </m:fPr>
                                      <m:num>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G</m:t>
                                            </m:r>
                                          </m:e>
                                          <m:sub>
                                            <m:r>
                                              <w:rPr>
                                                <w:rFonts w:ascii="Cambria Math" w:hAnsi="Cambria Math" w:cs="Arial"/>
                                                <w:szCs w:val="24"/>
                                              </w:rPr>
                                              <m:t>m</m:t>
                                            </m:r>
                                          </m:sub>
                                        </m:sSub>
                                      </m:num>
                                      <m:den>
                                        <m:r>
                                          <w:rPr>
                                            <w:rFonts w:ascii="Cambria Math" w:hAnsi="Cambria Math" w:cs="Arial"/>
                                            <w:szCs w:val="24"/>
                                          </w:rPr>
                                          <m:t>dz</m:t>
                                        </m:r>
                                      </m:den>
                                    </m:f>
                                  </m:e>
                                </m:d>
                              </m:e>
                              <m:sub>
                                <m:r>
                                  <w:rPr>
                                    <w:rFonts w:ascii="Cambria Math" w:hAnsi="Cambria Math" w:cs="Arial"/>
                                    <w:szCs w:val="24"/>
                                  </w:rPr>
                                  <m:t>x,y,…</m:t>
                                </m:r>
                              </m:sub>
                            </m:sSub>
                            <m:r>
                              <w:rPr>
                                <w:rFonts w:ascii="Cambria Math" w:hAnsi="Cambria Math" w:cs="Arial"/>
                                <w:szCs w:val="24"/>
                              </w:rPr>
                              <m:t>∂z</m:t>
                            </m:r>
                          </m:e>
                        </m:d>
                      </m:e>
                      <m:sup>
                        <m:r>
                          <w:rPr>
                            <w:rFonts w:ascii="Cambria Math" w:hAnsi="Cambria Math" w:cs="Arial"/>
                            <w:szCs w:val="24"/>
                          </w:rPr>
                          <m:t>2</m:t>
                        </m:r>
                      </m:sup>
                    </m:sSup>
                  </m:e>
                </m:rad>
              </m:oMath>
            </m:oMathPara>
          </w:p>
        </w:tc>
        <w:tc>
          <w:tcPr>
            <w:tcW w:w="676" w:type="dxa"/>
            <w:tcBorders>
              <w:top w:val="nil"/>
              <w:left w:val="nil"/>
              <w:bottom w:val="nil"/>
              <w:right w:val="nil"/>
            </w:tcBorders>
            <w:vAlign w:val="center"/>
          </w:tcPr>
          <w:p w:rsidR="009E629B" w:rsidRPr="00862B53" w:rsidRDefault="009E629B" w:rsidP="00862B53">
            <w:pPr>
              <w:autoSpaceDE w:val="0"/>
              <w:autoSpaceDN w:val="0"/>
              <w:adjustRightInd w:val="0"/>
              <w:spacing w:after="0" w:line="240" w:lineRule="auto"/>
              <w:contextualSpacing w:val="0"/>
              <w:rPr>
                <w:rFonts w:ascii="Cambria Math" w:hAnsi="Cambria Math" w:cs="Arial"/>
                <w:szCs w:val="24"/>
              </w:rPr>
            </w:pPr>
            <w:r w:rsidRPr="00862B53">
              <w:rPr>
                <w:rFonts w:ascii="Cambria Math" w:hAnsi="Cambria Math" w:cs="Arial"/>
                <w:szCs w:val="24"/>
              </w:rPr>
              <w:t>(3</w:t>
            </w:r>
            <w:r w:rsidR="00862B53" w:rsidRPr="00862B53">
              <w:rPr>
                <w:rFonts w:ascii="Cambria Math" w:hAnsi="Cambria Math" w:cs="Arial"/>
                <w:szCs w:val="24"/>
              </w:rPr>
              <w:t>3</w:t>
            </w:r>
            <w:r w:rsidRPr="00862B53">
              <w:rPr>
                <w:rFonts w:ascii="Cambria Math" w:hAnsi="Cambria Math" w:cs="Arial"/>
                <w:szCs w:val="24"/>
              </w:rPr>
              <w:t>)</w:t>
            </w:r>
          </w:p>
        </w:tc>
      </w:tr>
    </w:tbl>
    <w:p w:rsidR="00D377E7" w:rsidRPr="003A44A8" w:rsidRDefault="00862B53" w:rsidP="00862B53">
      <w:pPr>
        <w:pStyle w:val="Legenda"/>
        <w:rPr>
          <w:rFonts w:eastAsiaTheme="minorEastAsia"/>
          <w:color w:val="FFFFFF" w:themeColor="background1"/>
        </w:rPr>
      </w:pPr>
      <w:bookmarkStart w:id="113" w:name="_Ref488110453"/>
      <w:r w:rsidRPr="003A44A8">
        <w:rPr>
          <w:color w:val="FFFFFF" w:themeColor="background1"/>
        </w:rPr>
        <w:t xml:space="preserve">Equação </w:t>
      </w:r>
      <w:r w:rsidR="001144AF">
        <w:rPr>
          <w:color w:val="FFFFFF" w:themeColor="background1"/>
        </w:rPr>
        <w:fldChar w:fldCharType="begin"/>
      </w:r>
      <w:r w:rsidR="001144AF">
        <w:rPr>
          <w:color w:val="FFFFFF" w:themeColor="background1"/>
        </w:rPr>
        <w:instrText xml:space="preserve"> SEQ Equação \* ARABIC </w:instrText>
      </w:r>
      <w:r w:rsidR="001144AF">
        <w:rPr>
          <w:color w:val="FFFFFF" w:themeColor="background1"/>
        </w:rPr>
        <w:fldChar w:fldCharType="separate"/>
      </w:r>
      <w:r w:rsidR="001144AF">
        <w:rPr>
          <w:noProof/>
          <w:color w:val="FFFFFF" w:themeColor="background1"/>
        </w:rPr>
        <w:t>34</w:t>
      </w:r>
      <w:r w:rsidR="001144AF">
        <w:rPr>
          <w:color w:val="FFFFFF" w:themeColor="background1"/>
        </w:rPr>
        <w:fldChar w:fldCharType="end"/>
      </w:r>
      <w:bookmarkEnd w:id="113"/>
    </w:p>
    <w:p w:rsidR="00D377E7" w:rsidRDefault="00ED2E0A" w:rsidP="00105993">
      <w:pPr>
        <w:rPr>
          <w:rFonts w:eastAsiaTheme="minorEastAsia"/>
        </w:rPr>
      </w:pPr>
      <w:r>
        <w:rPr>
          <w:rFonts w:eastAsiaTheme="minorEastAsia"/>
        </w:rPr>
        <w:t xml:space="preserve">Resolvendo </w:t>
      </w:r>
      <w:r w:rsidR="00D377E7">
        <w:rPr>
          <w:rFonts w:eastAsiaTheme="minorEastAsia"/>
        </w:rPr>
        <w:t xml:space="preserve">as derivadas parciais para cada variável que compõe o fator de atrito, temos a </w:t>
      </w:r>
      <w:r w:rsidR="00862B53" w:rsidRPr="00766644">
        <w:rPr>
          <w:rFonts w:eastAsiaTheme="minorEastAsia"/>
        </w:rPr>
        <w:fldChar w:fldCharType="begin"/>
      </w:r>
      <w:r w:rsidR="00862B53" w:rsidRPr="00766644">
        <w:rPr>
          <w:rFonts w:eastAsiaTheme="minorEastAsia"/>
        </w:rPr>
        <w:instrText xml:space="preserve"> REF _Ref488110475 \h </w:instrText>
      </w:r>
      <w:r w:rsidR="00862B53" w:rsidRPr="00766644">
        <w:rPr>
          <w:rFonts w:eastAsiaTheme="minorEastAsia"/>
        </w:rPr>
      </w:r>
      <w:r w:rsidR="00862B53" w:rsidRPr="00766644">
        <w:rPr>
          <w:rFonts w:eastAsiaTheme="minorEastAsia"/>
        </w:rPr>
        <w:fldChar w:fldCharType="separate"/>
      </w:r>
      <w:r w:rsidR="00380A8E" w:rsidRPr="00766644">
        <w:t xml:space="preserve">Equação </w:t>
      </w:r>
      <w:r w:rsidR="00380A8E" w:rsidRPr="00766644">
        <w:rPr>
          <w:noProof/>
        </w:rPr>
        <w:t>34</w:t>
      </w:r>
      <w:r w:rsidR="00862B53" w:rsidRPr="00766644">
        <w:rPr>
          <w:rFonts w:eastAsiaTheme="minorEastAsia"/>
        </w:rPr>
        <w:fldChar w:fldCharType="end"/>
      </w:r>
      <w:r w:rsidR="00D377E7" w:rsidRPr="00766644">
        <w:rPr>
          <w:rFonts w:eastAsiaTheme="minorEastAsia"/>
        </w:rPr>
        <w:t xml:space="preserve">, que representa a incerteza para os valores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m</m:t>
            </m:r>
          </m:sub>
        </m:sSub>
      </m:oMath>
      <w:r w:rsidR="00D377E7" w:rsidRPr="00766644">
        <w:rPr>
          <w:rFonts w:eastAsiaTheme="minorEastAsia"/>
        </w:rPr>
        <w:t xml:space="preserve"> de fator de atrito experime</w:t>
      </w:r>
      <w:r w:rsidR="00D377E7">
        <w:rPr>
          <w:rFonts w:eastAsiaTheme="minorEastAsia"/>
        </w:rPr>
        <w:t>ntal calculado.</w:t>
      </w:r>
    </w:p>
    <w:tbl>
      <w:tblPr>
        <w:tblStyle w:val="Tabelacomgrade"/>
        <w:tblW w:w="0" w:type="auto"/>
        <w:tblCellMar>
          <w:left w:w="0" w:type="dxa"/>
          <w:right w:w="0" w:type="dxa"/>
        </w:tblCellMar>
        <w:tblLook w:val="04A0" w:firstRow="1" w:lastRow="0" w:firstColumn="1" w:lastColumn="0" w:noHBand="0" w:noVBand="1"/>
      </w:tblPr>
      <w:tblGrid>
        <w:gridCol w:w="8395"/>
        <w:gridCol w:w="676"/>
      </w:tblGrid>
      <w:tr w:rsidR="00D377E7" w:rsidRPr="00862B53" w:rsidTr="00C75E31">
        <w:tc>
          <w:tcPr>
            <w:tcW w:w="8395" w:type="dxa"/>
            <w:tcBorders>
              <w:top w:val="nil"/>
              <w:left w:val="nil"/>
              <w:bottom w:val="nil"/>
              <w:right w:val="nil"/>
            </w:tcBorders>
            <w:vAlign w:val="center"/>
          </w:tcPr>
          <w:p w:rsidR="00D377E7" w:rsidRPr="00862B53" w:rsidRDefault="00D377E7" w:rsidP="00862B53">
            <w:pPr>
              <w:autoSpaceDE w:val="0"/>
              <w:autoSpaceDN w:val="0"/>
              <w:adjustRightInd w:val="0"/>
              <w:spacing w:after="0" w:line="240" w:lineRule="auto"/>
              <w:contextualSpacing w:val="0"/>
              <w:rPr>
                <w:rFonts w:ascii="Cambria Math" w:hAnsi="Cambria Math" w:cs="Arial"/>
                <w:i/>
                <w:szCs w:val="24"/>
              </w:rPr>
            </w:pPr>
            <m:oMathPara>
              <m:oMath>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f</m:t>
                    </m:r>
                  </m:e>
                  <m:sub>
                    <m:r>
                      <w:rPr>
                        <w:rFonts w:ascii="Cambria Math" w:hAnsi="Cambria Math" w:cs="Arial"/>
                        <w:szCs w:val="24"/>
                      </w:rPr>
                      <m:t>m</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f</m:t>
                    </m:r>
                  </m:e>
                  <m:sub>
                    <m:r>
                      <w:rPr>
                        <w:rFonts w:ascii="Cambria Math" w:hAnsi="Cambria Math" w:cs="Arial"/>
                        <w:szCs w:val="24"/>
                      </w:rPr>
                      <m:t>m</m:t>
                    </m:r>
                  </m:sub>
                </m:sSub>
                <m:rad>
                  <m:radPr>
                    <m:degHide m:val="1"/>
                    <m:ctrlPr>
                      <w:rPr>
                        <w:rFonts w:ascii="Cambria Math" w:hAnsi="Cambria Math" w:cs="Arial"/>
                        <w:i/>
                        <w:szCs w:val="24"/>
                      </w:rPr>
                    </m:ctrlPr>
                  </m:radPr>
                  <m:deg/>
                  <m:e>
                    <m:sSup>
                      <m:sSupPr>
                        <m:ctrlPr>
                          <w:rPr>
                            <w:rFonts w:ascii="Cambria Math" w:hAnsi="Cambria Math" w:cs="Arial"/>
                            <w:i/>
                            <w:szCs w:val="24"/>
                          </w:rPr>
                        </m:ctrlPr>
                      </m:sSupPr>
                      <m:e>
                        <m:d>
                          <m:dPr>
                            <m:begChr m:val="["/>
                            <m:endChr m:val="]"/>
                            <m:ctrlPr>
                              <w:rPr>
                                <w:rFonts w:ascii="Cambria Math" w:hAnsi="Cambria Math" w:cs="Arial"/>
                                <w:i/>
                                <w:szCs w:val="24"/>
                              </w:rPr>
                            </m:ctrlPr>
                          </m:dPr>
                          <m:e>
                            <m:f>
                              <m:fPr>
                                <m:ctrlPr>
                                  <w:rPr>
                                    <w:rFonts w:ascii="Cambria Math" w:hAnsi="Cambria Math" w:cs="Arial"/>
                                    <w:i/>
                                    <w:szCs w:val="24"/>
                                  </w:rPr>
                                </m:ctrlPr>
                              </m:fPr>
                              <m:num>
                                <m:r>
                                  <w:rPr>
                                    <w:rFonts w:ascii="Cambria Math" w:hAnsi="Cambria Math" w:cs="Arial"/>
                                    <w:szCs w:val="24"/>
                                  </w:rPr>
                                  <m:t>5</m:t>
                                </m:r>
                              </m:num>
                              <m:den>
                                <m:r>
                                  <w:rPr>
                                    <w:rFonts w:ascii="Cambria Math" w:hAnsi="Cambria Math" w:cs="Arial"/>
                                    <w:szCs w:val="24"/>
                                  </w:rPr>
                                  <m:t>D</m:t>
                                </m:r>
                              </m:den>
                            </m:f>
                            <m:r>
                              <w:rPr>
                                <w:rFonts w:ascii="Cambria Math" w:hAnsi="Cambria Math" w:cs="Arial"/>
                                <w:szCs w:val="24"/>
                              </w:rPr>
                              <m:t>∂D</m:t>
                            </m:r>
                          </m:e>
                        </m:d>
                      </m:e>
                      <m:sup>
                        <m:r>
                          <w:rPr>
                            <w:rFonts w:ascii="Cambria Math" w:hAnsi="Cambria Math" w:cs="Arial"/>
                            <w:szCs w:val="24"/>
                          </w:rPr>
                          <m:t>2</m:t>
                        </m:r>
                      </m:sup>
                    </m:sSup>
                    <m:r>
                      <w:rPr>
                        <w:rFonts w:ascii="Cambria Math" w:hAnsi="Cambria Math" w:cs="Arial"/>
                        <w:szCs w:val="24"/>
                      </w:rPr>
                      <m:t>+</m:t>
                    </m:r>
                    <m:sSup>
                      <m:sSupPr>
                        <m:ctrlPr>
                          <w:rPr>
                            <w:rFonts w:ascii="Cambria Math" w:hAnsi="Cambria Math" w:cs="Arial"/>
                            <w:i/>
                            <w:szCs w:val="24"/>
                          </w:rPr>
                        </m:ctrlPr>
                      </m:sSupPr>
                      <m:e>
                        <m:d>
                          <m:dPr>
                            <m:begChr m:val="["/>
                            <m:endChr m:val="]"/>
                            <m:ctrlPr>
                              <w:rPr>
                                <w:rFonts w:ascii="Cambria Math" w:hAnsi="Cambria Math" w:cs="Arial"/>
                                <w:i/>
                                <w:szCs w:val="24"/>
                              </w:rPr>
                            </m:ctrlPr>
                          </m:dPr>
                          <m:e>
                            <m:f>
                              <m:fPr>
                                <m:ctrlPr>
                                  <w:rPr>
                                    <w:rFonts w:ascii="Cambria Math" w:hAnsi="Cambria Math" w:cs="Arial"/>
                                    <w:i/>
                                    <w:szCs w:val="24"/>
                                  </w:rPr>
                                </m:ctrlPr>
                              </m:fPr>
                              <m:num>
                                <m:r>
                                  <w:rPr>
                                    <w:rFonts w:ascii="Cambria Math" w:hAnsi="Cambria Math" w:cs="Arial"/>
                                    <w:szCs w:val="24"/>
                                  </w:rPr>
                                  <m:t>2</m:t>
                                </m:r>
                              </m:num>
                              <m:den>
                                <m:r>
                                  <w:rPr>
                                    <w:rFonts w:ascii="Cambria Math" w:hAnsi="Cambria Math" w:cs="Arial"/>
                                    <w:szCs w:val="24"/>
                                  </w:rPr>
                                  <m:t>Q</m:t>
                                </m:r>
                              </m:den>
                            </m:f>
                            <m:r>
                              <w:rPr>
                                <w:rFonts w:ascii="Cambria Math" w:hAnsi="Cambria Math" w:cs="Arial"/>
                                <w:szCs w:val="24"/>
                              </w:rPr>
                              <m:t>∂Q</m:t>
                            </m:r>
                          </m:e>
                        </m:d>
                      </m:e>
                      <m:sup>
                        <m:r>
                          <w:rPr>
                            <w:rFonts w:ascii="Cambria Math" w:hAnsi="Cambria Math" w:cs="Arial"/>
                            <w:szCs w:val="24"/>
                          </w:rPr>
                          <m:t>2</m:t>
                        </m:r>
                      </m:sup>
                    </m:sSup>
                    <m:r>
                      <w:rPr>
                        <w:rFonts w:ascii="Cambria Math" w:hAnsi="Cambria Math" w:cs="Arial"/>
                        <w:szCs w:val="24"/>
                      </w:rPr>
                      <m:t>+</m:t>
                    </m:r>
                    <m:sSup>
                      <m:sSupPr>
                        <m:ctrlPr>
                          <w:rPr>
                            <w:rFonts w:ascii="Cambria Math" w:hAnsi="Cambria Math" w:cs="Arial"/>
                            <w:i/>
                            <w:szCs w:val="24"/>
                          </w:rPr>
                        </m:ctrlPr>
                      </m:sSupPr>
                      <m:e>
                        <m:d>
                          <m:dPr>
                            <m:begChr m:val="["/>
                            <m:endChr m:val="]"/>
                            <m:ctrlPr>
                              <w:rPr>
                                <w:rFonts w:ascii="Cambria Math" w:hAnsi="Cambria Math" w:cs="Arial"/>
                                <w:i/>
                                <w:szCs w:val="24"/>
                              </w:rPr>
                            </m:ctrlPr>
                          </m:dPr>
                          <m:e>
                            <m:f>
                              <m:fPr>
                                <m:ctrlPr>
                                  <w:rPr>
                                    <w:rFonts w:ascii="Cambria Math" w:hAnsi="Cambria Math" w:cs="Arial"/>
                                    <w:i/>
                                    <w:szCs w:val="24"/>
                                  </w:rPr>
                                </m:ctrlPr>
                              </m:fPr>
                              <m:num>
                                <m:r>
                                  <w:rPr>
                                    <w:rFonts w:ascii="Cambria Math" w:hAnsi="Cambria Math" w:cs="Arial"/>
                                    <w:szCs w:val="24"/>
                                  </w:rPr>
                                  <m:t>L</m:t>
                                </m:r>
                              </m:num>
                              <m:den>
                                <m:r>
                                  <w:rPr>
                                    <w:rFonts w:ascii="Cambria Math" w:hAnsi="Cambria Math" w:cs="Arial"/>
                                    <w:szCs w:val="24"/>
                                  </w:rPr>
                                  <m:t>∆P</m:t>
                                </m:r>
                              </m:den>
                            </m:f>
                            <m:r>
                              <w:rPr>
                                <w:rFonts w:ascii="Cambria Math" w:hAnsi="Cambria Math" w:cs="Arial"/>
                                <w:szCs w:val="24"/>
                              </w:rPr>
                              <m:t>∂</m:t>
                            </m:r>
                            <m:d>
                              <m:dPr>
                                <m:ctrlPr>
                                  <w:rPr>
                                    <w:rFonts w:ascii="Cambria Math" w:hAnsi="Cambria Math" w:cs="Arial"/>
                                    <w:i/>
                                    <w:szCs w:val="24"/>
                                  </w:rPr>
                                </m:ctrlPr>
                              </m:dPr>
                              <m:e>
                                <m:f>
                                  <m:fPr>
                                    <m:ctrlPr>
                                      <w:rPr>
                                        <w:rFonts w:ascii="Cambria Math" w:hAnsi="Cambria Math" w:cs="Arial"/>
                                        <w:i/>
                                        <w:szCs w:val="24"/>
                                      </w:rPr>
                                    </m:ctrlPr>
                                  </m:fPr>
                                  <m:num>
                                    <m:r>
                                      <w:rPr>
                                        <w:rFonts w:ascii="Cambria Math" w:hAnsi="Cambria Math" w:cs="Arial"/>
                                        <w:szCs w:val="24"/>
                                      </w:rPr>
                                      <m:t>∆P</m:t>
                                    </m:r>
                                  </m:num>
                                  <m:den>
                                    <m:r>
                                      <w:rPr>
                                        <w:rFonts w:ascii="Cambria Math" w:hAnsi="Cambria Math" w:cs="Arial"/>
                                        <w:szCs w:val="24"/>
                                      </w:rPr>
                                      <m:t>L</m:t>
                                    </m:r>
                                  </m:den>
                                </m:f>
                              </m:e>
                            </m:d>
                          </m:e>
                        </m:d>
                      </m:e>
                      <m:sup>
                        <m:r>
                          <w:rPr>
                            <w:rFonts w:ascii="Cambria Math" w:hAnsi="Cambria Math" w:cs="Arial"/>
                            <w:szCs w:val="24"/>
                          </w:rPr>
                          <m:t>2</m:t>
                        </m:r>
                      </m:sup>
                    </m:sSup>
                    <m:r>
                      <w:rPr>
                        <w:rFonts w:ascii="Cambria Math" w:hAnsi="Cambria Math" w:cs="Arial"/>
                        <w:szCs w:val="24"/>
                      </w:rPr>
                      <m:t>+</m:t>
                    </m:r>
                    <m:sSup>
                      <m:sSupPr>
                        <m:ctrlPr>
                          <w:rPr>
                            <w:rFonts w:ascii="Cambria Math" w:hAnsi="Cambria Math" w:cs="Arial"/>
                            <w:i/>
                            <w:szCs w:val="24"/>
                          </w:rPr>
                        </m:ctrlPr>
                      </m:sSupPr>
                      <m:e>
                        <m:d>
                          <m:dPr>
                            <m:begChr m:val="["/>
                            <m:endChr m:val="]"/>
                            <m:ctrlPr>
                              <w:rPr>
                                <w:rFonts w:ascii="Cambria Math" w:hAnsi="Cambria Math" w:cs="Arial"/>
                                <w:i/>
                                <w:szCs w:val="24"/>
                              </w:rPr>
                            </m:ctrlPr>
                          </m:dPr>
                          <m:e>
                            <m:f>
                              <m:fPr>
                                <m:ctrlPr>
                                  <w:rPr>
                                    <w:rFonts w:ascii="Cambria Math" w:hAnsi="Cambria Math" w:cs="Arial"/>
                                    <w:i/>
                                    <w:szCs w:val="24"/>
                                  </w:rPr>
                                </m:ctrlPr>
                              </m:fPr>
                              <m:num>
                                <m:r>
                                  <w:rPr>
                                    <w:rFonts w:ascii="Cambria Math" w:hAnsi="Cambria Math" w:cs="Arial"/>
                                    <w:szCs w:val="24"/>
                                  </w:rPr>
                                  <m:t>1</m:t>
                                </m:r>
                              </m:num>
                              <m:den>
                                <m:r>
                                  <w:rPr>
                                    <w:rFonts w:ascii="Cambria Math" w:hAnsi="Cambria Math" w:cs="Arial"/>
                                    <w:szCs w:val="24"/>
                                  </w:rPr>
                                  <m:t>ρ</m:t>
                                </m:r>
                              </m:den>
                            </m:f>
                            <m:r>
                              <w:rPr>
                                <w:rFonts w:ascii="Cambria Math" w:hAnsi="Cambria Math" w:cs="Arial"/>
                                <w:szCs w:val="24"/>
                              </w:rPr>
                              <m:t>∂ρ</m:t>
                            </m:r>
                          </m:e>
                        </m:d>
                      </m:e>
                      <m:sup>
                        <m:r>
                          <w:rPr>
                            <w:rFonts w:ascii="Cambria Math" w:hAnsi="Cambria Math" w:cs="Arial"/>
                            <w:szCs w:val="24"/>
                          </w:rPr>
                          <m:t>2</m:t>
                        </m:r>
                      </m:sup>
                    </m:sSup>
                  </m:e>
                </m:rad>
              </m:oMath>
            </m:oMathPara>
          </w:p>
        </w:tc>
        <w:tc>
          <w:tcPr>
            <w:tcW w:w="676" w:type="dxa"/>
            <w:tcBorders>
              <w:top w:val="nil"/>
              <w:left w:val="nil"/>
              <w:bottom w:val="nil"/>
              <w:right w:val="nil"/>
            </w:tcBorders>
            <w:vAlign w:val="center"/>
          </w:tcPr>
          <w:p w:rsidR="00D377E7" w:rsidRPr="00862B53" w:rsidRDefault="00D377E7" w:rsidP="00862B53">
            <w:pPr>
              <w:autoSpaceDE w:val="0"/>
              <w:autoSpaceDN w:val="0"/>
              <w:adjustRightInd w:val="0"/>
              <w:spacing w:after="0" w:line="240" w:lineRule="auto"/>
              <w:contextualSpacing w:val="0"/>
              <w:jc w:val="left"/>
              <w:rPr>
                <w:rFonts w:ascii="Cambria Math" w:hAnsi="Cambria Math" w:cs="Arial"/>
                <w:szCs w:val="24"/>
              </w:rPr>
            </w:pPr>
            <w:r w:rsidRPr="00862B53">
              <w:rPr>
                <w:rFonts w:ascii="Cambria Math" w:hAnsi="Cambria Math" w:cs="Arial"/>
                <w:szCs w:val="24"/>
              </w:rPr>
              <w:t>(34)</w:t>
            </w:r>
          </w:p>
        </w:tc>
      </w:tr>
    </w:tbl>
    <w:p w:rsidR="00172AD8" w:rsidRPr="003A44A8" w:rsidRDefault="00862B53" w:rsidP="00862B53">
      <w:pPr>
        <w:pStyle w:val="Legenda"/>
        <w:rPr>
          <w:rFonts w:eastAsiaTheme="minorEastAsia"/>
          <w:color w:val="FFFFFF" w:themeColor="background1"/>
        </w:rPr>
      </w:pPr>
      <w:bookmarkStart w:id="114" w:name="_Ref488110475"/>
      <w:r w:rsidRPr="003A44A8">
        <w:rPr>
          <w:color w:val="FFFFFF" w:themeColor="background1"/>
        </w:rPr>
        <w:t xml:space="preserve">Equação </w:t>
      </w:r>
      <w:r w:rsidR="001144AF">
        <w:rPr>
          <w:color w:val="FFFFFF" w:themeColor="background1"/>
        </w:rPr>
        <w:fldChar w:fldCharType="begin"/>
      </w:r>
      <w:r w:rsidR="001144AF">
        <w:rPr>
          <w:color w:val="FFFFFF" w:themeColor="background1"/>
        </w:rPr>
        <w:instrText xml:space="preserve"> SEQ Equação \* ARABIC </w:instrText>
      </w:r>
      <w:r w:rsidR="001144AF">
        <w:rPr>
          <w:color w:val="FFFFFF" w:themeColor="background1"/>
        </w:rPr>
        <w:fldChar w:fldCharType="separate"/>
      </w:r>
      <w:r w:rsidR="001144AF">
        <w:rPr>
          <w:noProof/>
          <w:color w:val="FFFFFF" w:themeColor="background1"/>
        </w:rPr>
        <w:t>35</w:t>
      </w:r>
      <w:r w:rsidR="001144AF">
        <w:rPr>
          <w:color w:val="FFFFFF" w:themeColor="background1"/>
        </w:rPr>
        <w:fldChar w:fldCharType="end"/>
      </w:r>
      <w:bookmarkEnd w:id="114"/>
    </w:p>
    <w:p w:rsidR="003A44A8" w:rsidRPr="00766644" w:rsidRDefault="00FE2862" w:rsidP="003A44A8">
      <w:pPr>
        <w:rPr>
          <w:rFonts w:eastAsiaTheme="minorEastAsia"/>
        </w:rPr>
      </w:pPr>
      <w:r>
        <w:rPr>
          <w:rFonts w:eastAsiaTheme="minorEastAsia"/>
        </w:rPr>
        <w:t>Com relação à</w:t>
      </w:r>
      <w:r w:rsidR="00C75E31">
        <w:rPr>
          <w:rFonts w:eastAsiaTheme="minorEastAsia"/>
        </w:rPr>
        <w:t xml:space="preserve"> incerteza na conversão dos dados, </w:t>
      </w:r>
      <w:r w:rsidR="00C75E31" w:rsidRPr="00C75E31">
        <w:rPr>
          <w:rFonts w:eastAsiaTheme="minorEastAsia"/>
        </w:rPr>
        <w:t xml:space="preserve">esta </w:t>
      </w:r>
      <w:r w:rsidR="00C75E31">
        <w:rPr>
          <w:rFonts w:eastAsiaTheme="minorEastAsia"/>
        </w:rPr>
        <w:t>foi cons</w:t>
      </w:r>
      <w:r>
        <w:rPr>
          <w:rFonts w:eastAsiaTheme="minorEastAsia"/>
        </w:rPr>
        <w:t>iderada desprezível em relação às</w:t>
      </w:r>
      <w:r w:rsidR="00C75E31">
        <w:rPr>
          <w:rFonts w:eastAsiaTheme="minorEastAsia"/>
        </w:rPr>
        <w:t xml:space="preserve"> incerteza</w:t>
      </w:r>
      <w:r>
        <w:rPr>
          <w:rFonts w:eastAsiaTheme="minorEastAsia"/>
        </w:rPr>
        <w:t>s do tipo A e B, uma vez que a conversão analógica-digital é feita por uma placa de 24 bits</w:t>
      </w:r>
      <w:r w:rsidR="00C75E31" w:rsidRPr="00C75E31">
        <w:rPr>
          <w:rFonts w:eastAsiaTheme="minorEastAsia"/>
        </w:rPr>
        <w:t>.</w:t>
      </w:r>
      <w:r w:rsidR="00C75E31">
        <w:rPr>
          <w:rFonts w:eastAsiaTheme="minorEastAsia"/>
        </w:rPr>
        <w:t xml:space="preserve"> </w:t>
      </w:r>
      <w:r w:rsidR="00D377E7">
        <w:rPr>
          <w:rFonts w:eastAsiaTheme="minorEastAsia"/>
        </w:rPr>
        <w:t xml:space="preserve">A </w:t>
      </w:r>
      <w:r w:rsidR="003A44A8">
        <w:rPr>
          <w:rFonts w:eastAsiaTheme="minorEastAsia"/>
          <w:color w:val="FF0000"/>
        </w:rPr>
        <w:fldChar w:fldCharType="begin"/>
      </w:r>
      <w:r w:rsidR="003A44A8">
        <w:rPr>
          <w:rFonts w:eastAsiaTheme="minorEastAsia"/>
        </w:rPr>
        <w:instrText xml:space="preserve"> REF _Ref488110700 \h </w:instrText>
      </w:r>
      <w:r w:rsidR="003A44A8">
        <w:rPr>
          <w:rFonts w:eastAsiaTheme="minorEastAsia"/>
          <w:color w:val="FF0000"/>
        </w:rPr>
      </w:r>
      <w:r w:rsidR="003A44A8">
        <w:rPr>
          <w:rFonts w:eastAsiaTheme="minorEastAsia"/>
          <w:color w:val="FF0000"/>
        </w:rPr>
        <w:fldChar w:fldCharType="separate"/>
      </w:r>
      <w:r w:rsidR="00380A8E">
        <w:t xml:space="preserve">Tabela </w:t>
      </w:r>
      <w:r w:rsidR="00380A8E">
        <w:rPr>
          <w:noProof/>
        </w:rPr>
        <w:t>3</w:t>
      </w:r>
      <w:r w:rsidR="003A44A8">
        <w:rPr>
          <w:rFonts w:eastAsiaTheme="minorEastAsia"/>
          <w:color w:val="FF0000"/>
        </w:rPr>
        <w:fldChar w:fldCharType="end"/>
      </w:r>
      <w:r w:rsidR="00D377E7">
        <w:rPr>
          <w:rFonts w:eastAsiaTheme="minorEastAsia"/>
          <w:color w:val="FF0000"/>
        </w:rPr>
        <w:t xml:space="preserve"> </w:t>
      </w:r>
      <w:r w:rsidR="00D377E7">
        <w:rPr>
          <w:rFonts w:eastAsiaTheme="minorEastAsia"/>
        </w:rPr>
        <w:t xml:space="preserve">apresenta </w:t>
      </w:r>
      <w:r w:rsidR="00172AD8">
        <w:rPr>
          <w:rFonts w:eastAsiaTheme="minorEastAsia"/>
        </w:rPr>
        <w:t>as incertezas para cada instrumento de medição</w:t>
      </w:r>
      <w:r w:rsidR="00F12DE6">
        <w:rPr>
          <w:rFonts w:eastAsiaTheme="minorEastAsia"/>
        </w:rPr>
        <w:t xml:space="preserve">. A medida da massa específica é obtida por meio de tabelas </w:t>
      </w:r>
      <w:r w:rsidR="00C75E31">
        <w:rPr>
          <w:rFonts w:eastAsiaTheme="minorEastAsia"/>
        </w:rPr>
        <w:t xml:space="preserve">disponíveis em </w:t>
      </w:r>
      <w:r w:rsidR="00766644">
        <w:rPr>
          <w:rFonts w:eastAsiaTheme="minorEastAsia"/>
        </w:rPr>
        <w:t>[23]</w:t>
      </w:r>
      <w:r w:rsidR="00F12DE6">
        <w:rPr>
          <w:rFonts w:eastAsiaTheme="minorEastAsia"/>
        </w:rPr>
        <w:t>.</w:t>
      </w:r>
    </w:p>
    <w:p w:rsidR="003A44A8" w:rsidRPr="002855BE" w:rsidRDefault="003A44A8" w:rsidP="00766644">
      <w:pPr>
        <w:pStyle w:val="Tabela-PG"/>
      </w:pPr>
      <w:bookmarkStart w:id="115" w:name="_Toc488706083"/>
      <w:r w:rsidRPr="002855BE">
        <w:t xml:space="preserve">Tabela </w:t>
      </w:r>
      <w:fldSimple w:instr=" SEQ Tabela \* ARABIC ">
        <w:r w:rsidR="00C91A0F">
          <w:rPr>
            <w:noProof/>
          </w:rPr>
          <w:t>2</w:t>
        </w:r>
      </w:fldSimple>
      <w:r w:rsidR="00ED051D">
        <w:t xml:space="preserve"> -</w:t>
      </w:r>
      <w:r w:rsidRPr="002855BE">
        <w:t xml:space="preserve"> </w:t>
      </w:r>
      <w:r w:rsidR="002D3358">
        <w:t>Faixa de valores e i</w:t>
      </w:r>
      <w:r w:rsidRPr="002855BE">
        <w:t>ncerteza dos instrumentos de medição.</w:t>
      </w:r>
      <w:bookmarkEnd w:id="115"/>
    </w:p>
    <w:tbl>
      <w:tblPr>
        <w:tblW w:w="9355" w:type="dxa"/>
        <w:jc w:val="center"/>
        <w:tblLayout w:type="fixed"/>
        <w:tblCellMar>
          <w:left w:w="70" w:type="dxa"/>
          <w:right w:w="70" w:type="dxa"/>
        </w:tblCellMar>
        <w:tblLook w:val="04A0" w:firstRow="1" w:lastRow="0" w:firstColumn="1" w:lastColumn="0" w:noHBand="0" w:noVBand="1"/>
      </w:tblPr>
      <w:tblGrid>
        <w:gridCol w:w="2127"/>
        <w:gridCol w:w="2551"/>
        <w:gridCol w:w="2551"/>
        <w:gridCol w:w="2126"/>
      </w:tblGrid>
      <w:tr w:rsidR="000452E8" w:rsidRPr="003A1859" w:rsidTr="00BF27F1">
        <w:trPr>
          <w:trHeight w:val="671"/>
          <w:jc w:val="center"/>
        </w:trPr>
        <w:tc>
          <w:tcPr>
            <w:tcW w:w="2127" w:type="dxa"/>
            <w:tcBorders>
              <w:top w:val="single" w:sz="4" w:space="0" w:color="auto"/>
              <w:left w:val="nil"/>
              <w:bottom w:val="single" w:sz="4" w:space="0" w:color="auto"/>
              <w:right w:val="nil"/>
            </w:tcBorders>
            <w:shd w:val="clear" w:color="000000" w:fill="FFFFFF"/>
            <w:noWrap/>
            <w:vAlign w:val="center"/>
            <w:hideMark/>
          </w:tcPr>
          <w:p w:rsidR="000452E8" w:rsidRPr="003A1859" w:rsidRDefault="000452E8" w:rsidP="00760D50">
            <w:pPr>
              <w:spacing w:after="0" w:line="240" w:lineRule="auto"/>
              <w:contextualSpacing w:val="0"/>
              <w:jc w:val="center"/>
              <w:rPr>
                <w:rFonts w:eastAsia="Times New Roman" w:cs="Arial"/>
                <w:b/>
                <w:i/>
                <w:iCs/>
                <w:color w:val="000000"/>
                <w:szCs w:val="24"/>
                <w:lang w:eastAsia="pt-BR"/>
              </w:rPr>
            </w:pPr>
            <w:r>
              <w:rPr>
                <w:rFonts w:eastAsia="Times New Roman" w:cs="Arial"/>
                <w:b/>
                <w:i/>
                <w:iCs/>
                <w:color w:val="000000"/>
                <w:szCs w:val="24"/>
                <w:lang w:eastAsia="pt-BR"/>
              </w:rPr>
              <w:t>Instrumento</w:t>
            </w:r>
          </w:p>
        </w:tc>
        <w:tc>
          <w:tcPr>
            <w:tcW w:w="2551" w:type="dxa"/>
            <w:tcBorders>
              <w:top w:val="single" w:sz="4" w:space="0" w:color="auto"/>
              <w:left w:val="nil"/>
              <w:bottom w:val="single" w:sz="4" w:space="0" w:color="auto"/>
              <w:right w:val="nil"/>
            </w:tcBorders>
            <w:shd w:val="clear" w:color="000000" w:fill="FFFFFF"/>
            <w:noWrap/>
            <w:vAlign w:val="center"/>
            <w:hideMark/>
          </w:tcPr>
          <w:p w:rsidR="000452E8" w:rsidRPr="003A1859" w:rsidRDefault="000452E8" w:rsidP="00760D50">
            <w:pPr>
              <w:spacing w:after="0" w:line="240" w:lineRule="auto"/>
              <w:contextualSpacing w:val="0"/>
              <w:jc w:val="center"/>
              <w:rPr>
                <w:rFonts w:eastAsia="Times New Roman" w:cs="Arial"/>
                <w:b/>
                <w:i/>
                <w:iCs/>
                <w:color w:val="000000"/>
                <w:szCs w:val="24"/>
                <w:lang w:eastAsia="pt-BR"/>
              </w:rPr>
            </w:pPr>
            <w:r>
              <w:rPr>
                <w:rFonts w:eastAsia="Times New Roman" w:cs="Arial"/>
                <w:b/>
                <w:i/>
                <w:iCs/>
                <w:color w:val="000000"/>
                <w:szCs w:val="24"/>
                <w:lang w:eastAsia="pt-BR"/>
              </w:rPr>
              <w:t>Variável Medida</w:t>
            </w:r>
          </w:p>
        </w:tc>
        <w:tc>
          <w:tcPr>
            <w:tcW w:w="2551" w:type="dxa"/>
            <w:tcBorders>
              <w:top w:val="single" w:sz="4" w:space="0" w:color="auto"/>
              <w:left w:val="nil"/>
              <w:bottom w:val="single" w:sz="4" w:space="0" w:color="auto"/>
              <w:right w:val="nil"/>
            </w:tcBorders>
            <w:shd w:val="clear" w:color="000000" w:fill="FFFFFF"/>
            <w:vAlign w:val="center"/>
          </w:tcPr>
          <w:p w:rsidR="000452E8" w:rsidRPr="003A1859" w:rsidRDefault="000452E8" w:rsidP="00760D50">
            <w:pPr>
              <w:spacing w:after="0" w:line="240" w:lineRule="auto"/>
              <w:contextualSpacing w:val="0"/>
              <w:jc w:val="center"/>
              <w:rPr>
                <w:rFonts w:eastAsia="Times New Roman" w:cs="Arial"/>
                <w:b/>
                <w:i/>
                <w:iCs/>
                <w:color w:val="000000"/>
                <w:szCs w:val="24"/>
                <w:lang w:eastAsia="pt-BR"/>
              </w:rPr>
            </w:pPr>
            <w:r>
              <w:rPr>
                <w:rFonts w:eastAsia="Times New Roman" w:cs="Arial"/>
                <w:b/>
                <w:i/>
                <w:iCs/>
                <w:color w:val="000000"/>
                <w:szCs w:val="24"/>
                <w:lang w:eastAsia="pt-BR"/>
              </w:rPr>
              <w:t>Medição</w:t>
            </w:r>
          </w:p>
        </w:tc>
        <w:tc>
          <w:tcPr>
            <w:tcW w:w="2126" w:type="dxa"/>
            <w:tcBorders>
              <w:top w:val="single" w:sz="4" w:space="0" w:color="auto"/>
              <w:left w:val="nil"/>
              <w:bottom w:val="single" w:sz="4" w:space="0" w:color="auto"/>
              <w:right w:val="nil"/>
            </w:tcBorders>
            <w:shd w:val="clear" w:color="000000" w:fill="FFFFFF"/>
            <w:vAlign w:val="center"/>
          </w:tcPr>
          <w:p w:rsidR="000452E8" w:rsidRPr="003A1859" w:rsidRDefault="000452E8" w:rsidP="00760D50">
            <w:pPr>
              <w:spacing w:after="0" w:line="240" w:lineRule="auto"/>
              <w:contextualSpacing w:val="0"/>
              <w:jc w:val="center"/>
              <w:rPr>
                <w:rFonts w:eastAsia="Times New Roman" w:cs="Arial"/>
                <w:b/>
                <w:i/>
                <w:iCs/>
                <w:color w:val="000000"/>
                <w:szCs w:val="24"/>
                <w:lang w:eastAsia="pt-BR"/>
              </w:rPr>
            </w:pPr>
            <w:r>
              <w:rPr>
                <w:rFonts w:eastAsia="Times New Roman" w:cs="Arial"/>
                <w:b/>
                <w:i/>
                <w:iCs/>
                <w:color w:val="000000"/>
                <w:szCs w:val="24"/>
                <w:lang w:eastAsia="pt-BR"/>
              </w:rPr>
              <w:t>Incerteza</w:t>
            </w:r>
          </w:p>
        </w:tc>
      </w:tr>
      <w:tr w:rsidR="000452E8" w:rsidRPr="00E479B8" w:rsidTr="00BF27F1">
        <w:trPr>
          <w:trHeight w:val="450"/>
          <w:jc w:val="center"/>
        </w:trPr>
        <w:tc>
          <w:tcPr>
            <w:tcW w:w="2127" w:type="dxa"/>
            <w:tcBorders>
              <w:top w:val="nil"/>
              <w:left w:val="nil"/>
              <w:bottom w:val="single" w:sz="4" w:space="0" w:color="auto"/>
              <w:right w:val="nil"/>
            </w:tcBorders>
            <w:shd w:val="clear" w:color="000000" w:fill="FFFFFF"/>
            <w:noWrap/>
            <w:vAlign w:val="center"/>
            <w:hideMark/>
          </w:tcPr>
          <w:p w:rsidR="000452E8" w:rsidRPr="00E479B8" w:rsidRDefault="000452E8" w:rsidP="00E479B8">
            <w:pPr>
              <w:spacing w:after="0" w:line="240" w:lineRule="auto"/>
              <w:contextualSpacing w:val="0"/>
              <w:jc w:val="center"/>
              <w:rPr>
                <w:rFonts w:eastAsia="Times New Roman" w:cs="Arial"/>
                <w:color w:val="000000"/>
                <w:sz w:val="20"/>
                <w:szCs w:val="20"/>
                <w:lang w:eastAsia="pt-BR"/>
              </w:rPr>
            </w:pPr>
            <w:r w:rsidRPr="00E479B8">
              <w:rPr>
                <w:rFonts w:eastAsia="Times New Roman" w:cs="Arial"/>
                <w:color w:val="000000"/>
                <w:sz w:val="20"/>
                <w:szCs w:val="20"/>
                <w:lang w:eastAsia="pt-BR"/>
              </w:rPr>
              <w:t>Paquímetro</w:t>
            </w:r>
          </w:p>
        </w:tc>
        <w:tc>
          <w:tcPr>
            <w:tcW w:w="2551" w:type="dxa"/>
            <w:tcBorders>
              <w:top w:val="nil"/>
              <w:left w:val="nil"/>
              <w:bottom w:val="single" w:sz="4" w:space="0" w:color="auto"/>
              <w:right w:val="nil"/>
            </w:tcBorders>
            <w:shd w:val="clear" w:color="000000" w:fill="FFFFFF"/>
            <w:noWrap/>
            <w:vAlign w:val="center"/>
          </w:tcPr>
          <w:p w:rsidR="000452E8" w:rsidRPr="00E479B8" w:rsidRDefault="000452E8" w:rsidP="00E479B8">
            <w:pPr>
              <w:spacing w:after="0" w:line="240" w:lineRule="auto"/>
              <w:contextualSpacing w:val="0"/>
              <w:jc w:val="center"/>
              <w:rPr>
                <w:rFonts w:eastAsia="Times New Roman" w:cs="Arial"/>
                <w:color w:val="000000"/>
                <w:sz w:val="20"/>
                <w:szCs w:val="20"/>
                <w:lang w:eastAsia="pt-BR"/>
              </w:rPr>
            </w:pPr>
            <w:r w:rsidRPr="00E479B8">
              <w:rPr>
                <w:rFonts w:eastAsia="Times New Roman" w:cs="Arial"/>
                <w:color w:val="000000"/>
                <w:sz w:val="20"/>
                <w:szCs w:val="20"/>
                <w:lang w:eastAsia="pt-BR"/>
              </w:rPr>
              <w:t>Diâmetro</w:t>
            </w:r>
            <w:r w:rsidR="00CE6311" w:rsidRPr="00E479B8">
              <w:rPr>
                <w:rFonts w:eastAsia="Times New Roman" w:cs="Arial"/>
                <w:color w:val="000000"/>
                <w:sz w:val="20"/>
                <w:szCs w:val="20"/>
                <w:lang w:eastAsia="pt-BR"/>
              </w:rPr>
              <w:t xml:space="preserve"> </w:t>
            </w:r>
            <m:oMath>
              <m:d>
                <m:dPr>
                  <m:ctrlPr>
                    <w:rPr>
                      <w:rFonts w:ascii="Cambria Math" w:hAnsi="Cambria Math" w:cs="Arial"/>
                      <w:i/>
                      <w:sz w:val="20"/>
                      <w:szCs w:val="20"/>
                    </w:rPr>
                  </m:ctrlPr>
                </m:dPr>
                <m:e>
                  <m:r>
                    <w:rPr>
                      <w:rFonts w:ascii="Cambria Math" w:hAnsi="Cambria Math" w:cs="Arial"/>
                      <w:sz w:val="20"/>
                      <w:szCs w:val="20"/>
                    </w:rPr>
                    <m:t>D</m:t>
                  </m:r>
                </m:e>
              </m:d>
            </m:oMath>
          </w:p>
        </w:tc>
        <w:tc>
          <w:tcPr>
            <w:tcW w:w="2551" w:type="dxa"/>
            <w:tcBorders>
              <w:top w:val="nil"/>
              <w:left w:val="nil"/>
              <w:bottom w:val="single" w:sz="4" w:space="0" w:color="auto"/>
              <w:right w:val="nil"/>
            </w:tcBorders>
            <w:shd w:val="clear" w:color="000000" w:fill="FFFFFF"/>
            <w:vAlign w:val="center"/>
          </w:tcPr>
          <w:p w:rsidR="000452E8" w:rsidRPr="00E479B8" w:rsidRDefault="000452E8" w:rsidP="00E479B8">
            <w:pPr>
              <w:spacing w:after="0" w:line="240" w:lineRule="auto"/>
              <w:contextualSpacing w:val="0"/>
              <w:jc w:val="center"/>
              <w:rPr>
                <w:rFonts w:eastAsia="Times New Roman" w:cs="Arial"/>
                <w:color w:val="000000"/>
                <w:sz w:val="20"/>
                <w:szCs w:val="20"/>
                <w:lang w:eastAsia="pt-BR"/>
              </w:rPr>
            </w:pPr>
            <w:r w:rsidRPr="00E479B8">
              <w:rPr>
                <w:rFonts w:eastAsia="Times New Roman" w:cs="Arial"/>
                <w:color w:val="000000"/>
                <w:sz w:val="20"/>
                <w:szCs w:val="20"/>
                <w:lang w:eastAsia="pt-BR"/>
              </w:rPr>
              <w:t>21,2 mm</w:t>
            </w:r>
          </w:p>
        </w:tc>
        <w:tc>
          <w:tcPr>
            <w:tcW w:w="2126" w:type="dxa"/>
            <w:tcBorders>
              <w:top w:val="nil"/>
              <w:left w:val="nil"/>
              <w:bottom w:val="single" w:sz="4" w:space="0" w:color="auto"/>
              <w:right w:val="nil"/>
            </w:tcBorders>
            <w:shd w:val="clear" w:color="000000" w:fill="FFFFFF"/>
            <w:vAlign w:val="center"/>
          </w:tcPr>
          <w:p w:rsidR="000452E8" w:rsidRPr="00E479B8" w:rsidRDefault="000452E8" w:rsidP="00E479B8">
            <w:pPr>
              <w:spacing w:after="0" w:line="240" w:lineRule="auto"/>
              <w:contextualSpacing w:val="0"/>
              <w:jc w:val="center"/>
              <w:rPr>
                <w:rFonts w:eastAsia="Times New Roman" w:cs="Arial"/>
                <w:color w:val="000000"/>
                <w:sz w:val="20"/>
                <w:szCs w:val="20"/>
                <w:lang w:eastAsia="pt-BR"/>
              </w:rPr>
            </w:pPr>
            <w:r w:rsidRPr="00E479B8">
              <w:rPr>
                <w:rFonts w:eastAsia="Times New Roman" w:cs="Arial"/>
                <w:color w:val="000000"/>
                <w:sz w:val="20"/>
                <w:szCs w:val="20"/>
                <w:lang w:eastAsia="pt-BR"/>
              </w:rPr>
              <w:t>± 0,05 mm</w:t>
            </w:r>
          </w:p>
        </w:tc>
      </w:tr>
      <w:tr w:rsidR="000452E8" w:rsidRPr="00E479B8" w:rsidTr="00BF27F1">
        <w:trPr>
          <w:trHeight w:val="450"/>
          <w:jc w:val="center"/>
        </w:trPr>
        <w:tc>
          <w:tcPr>
            <w:tcW w:w="2127" w:type="dxa"/>
            <w:tcBorders>
              <w:top w:val="nil"/>
              <w:left w:val="nil"/>
              <w:bottom w:val="nil"/>
              <w:right w:val="nil"/>
            </w:tcBorders>
            <w:shd w:val="clear" w:color="000000" w:fill="FFFFFF"/>
            <w:noWrap/>
            <w:vAlign w:val="center"/>
            <w:hideMark/>
          </w:tcPr>
          <w:p w:rsidR="000452E8" w:rsidRPr="00E479B8" w:rsidRDefault="000452E8" w:rsidP="00E479B8">
            <w:pPr>
              <w:spacing w:after="0" w:line="240" w:lineRule="auto"/>
              <w:contextualSpacing w:val="0"/>
              <w:jc w:val="center"/>
              <w:rPr>
                <w:rFonts w:eastAsia="Times New Roman" w:cs="Arial"/>
                <w:color w:val="000000"/>
                <w:sz w:val="20"/>
                <w:szCs w:val="20"/>
                <w:lang w:eastAsia="pt-BR"/>
              </w:rPr>
            </w:pPr>
            <w:r w:rsidRPr="00E479B8">
              <w:rPr>
                <w:rFonts w:eastAsia="Times New Roman" w:cs="Arial"/>
                <w:color w:val="000000"/>
                <w:sz w:val="20"/>
                <w:szCs w:val="20"/>
                <w:lang w:eastAsia="pt-BR"/>
              </w:rPr>
              <w:t>Transdutores de Pressão</w:t>
            </w:r>
          </w:p>
        </w:tc>
        <w:tc>
          <w:tcPr>
            <w:tcW w:w="2551" w:type="dxa"/>
            <w:tcBorders>
              <w:top w:val="nil"/>
              <w:left w:val="nil"/>
              <w:bottom w:val="nil"/>
              <w:right w:val="nil"/>
            </w:tcBorders>
            <w:shd w:val="clear" w:color="000000" w:fill="FFFFFF"/>
            <w:noWrap/>
            <w:vAlign w:val="center"/>
          </w:tcPr>
          <w:p w:rsidR="000452E8" w:rsidRPr="00E479B8" w:rsidRDefault="000452E8" w:rsidP="00E479B8">
            <w:pPr>
              <w:spacing w:after="0" w:line="240" w:lineRule="auto"/>
              <w:contextualSpacing w:val="0"/>
              <w:jc w:val="center"/>
              <w:rPr>
                <w:rFonts w:eastAsia="Times New Roman" w:cs="Arial"/>
                <w:color w:val="000000"/>
                <w:sz w:val="20"/>
                <w:szCs w:val="20"/>
                <w:lang w:eastAsia="pt-BR"/>
              </w:rPr>
            </w:pPr>
            <w:r w:rsidRPr="00E479B8">
              <w:rPr>
                <w:rFonts w:eastAsia="Times New Roman" w:cs="Arial"/>
                <w:color w:val="000000"/>
                <w:sz w:val="20"/>
                <w:szCs w:val="20"/>
                <w:lang w:eastAsia="pt-BR"/>
              </w:rPr>
              <w:t xml:space="preserve">Pressão </w:t>
            </w:r>
            <m:oMath>
              <m:d>
                <m:dPr>
                  <m:ctrlPr>
                    <w:rPr>
                      <w:rFonts w:ascii="Cambria Math" w:hAnsi="Cambria Math" w:cs="Arial"/>
                      <w:i/>
                      <w:sz w:val="20"/>
                      <w:szCs w:val="20"/>
                    </w:rPr>
                  </m:ctrlPr>
                </m:dPr>
                <m:e>
                  <m:r>
                    <w:rPr>
                      <w:rFonts w:ascii="Cambria Math" w:hAnsi="Cambria Math" w:cs="Arial"/>
                      <w:sz w:val="20"/>
                      <w:szCs w:val="20"/>
                    </w:rPr>
                    <m:t>∆P</m:t>
                  </m:r>
                </m:e>
              </m:d>
            </m:oMath>
          </w:p>
        </w:tc>
        <w:tc>
          <w:tcPr>
            <w:tcW w:w="2551" w:type="dxa"/>
            <w:tcBorders>
              <w:top w:val="nil"/>
              <w:left w:val="nil"/>
              <w:bottom w:val="nil"/>
              <w:right w:val="nil"/>
            </w:tcBorders>
            <w:shd w:val="clear" w:color="000000" w:fill="FFFFFF"/>
            <w:vAlign w:val="center"/>
          </w:tcPr>
          <w:p w:rsidR="000452E8" w:rsidRPr="00E479B8" w:rsidRDefault="000452E8" w:rsidP="00E479B8">
            <w:pPr>
              <w:spacing w:after="0" w:line="240" w:lineRule="auto"/>
              <w:contextualSpacing w:val="0"/>
              <w:jc w:val="center"/>
              <w:rPr>
                <w:rFonts w:eastAsia="Times New Roman" w:cs="Arial"/>
                <w:color w:val="000000"/>
                <w:sz w:val="20"/>
                <w:szCs w:val="20"/>
                <w:lang w:eastAsia="pt-BR"/>
              </w:rPr>
            </w:pPr>
            <w:r w:rsidRPr="00E479B8">
              <w:rPr>
                <w:rFonts w:eastAsia="Times New Roman" w:cs="Arial"/>
                <w:color w:val="000000"/>
                <w:sz w:val="20"/>
                <w:szCs w:val="20"/>
                <w:lang w:eastAsia="pt-BR"/>
              </w:rPr>
              <w:t xml:space="preserve">0,6 a 2,7 bar </w:t>
            </w:r>
          </w:p>
        </w:tc>
        <w:tc>
          <w:tcPr>
            <w:tcW w:w="2126" w:type="dxa"/>
            <w:tcBorders>
              <w:top w:val="nil"/>
              <w:left w:val="nil"/>
              <w:bottom w:val="nil"/>
              <w:right w:val="nil"/>
            </w:tcBorders>
            <w:shd w:val="clear" w:color="000000" w:fill="FFFFFF"/>
            <w:vAlign w:val="center"/>
          </w:tcPr>
          <w:p w:rsidR="000452E8" w:rsidRPr="00E479B8" w:rsidRDefault="000452E8" w:rsidP="00E479B8">
            <w:pPr>
              <w:spacing w:after="0" w:line="240" w:lineRule="auto"/>
              <w:contextualSpacing w:val="0"/>
              <w:jc w:val="center"/>
              <w:rPr>
                <w:rFonts w:eastAsia="Times New Roman" w:cs="Arial"/>
                <w:color w:val="000000"/>
                <w:sz w:val="20"/>
                <w:szCs w:val="20"/>
                <w:lang w:eastAsia="pt-BR"/>
              </w:rPr>
            </w:pPr>
            <w:r w:rsidRPr="00E479B8">
              <w:rPr>
                <w:rFonts w:eastAsia="Times New Roman" w:cs="Arial"/>
                <w:color w:val="000000"/>
                <w:sz w:val="20"/>
                <w:szCs w:val="20"/>
                <w:lang w:eastAsia="pt-BR"/>
              </w:rPr>
              <w:t>± 0,10 %</w:t>
            </w:r>
          </w:p>
        </w:tc>
      </w:tr>
      <w:tr w:rsidR="000452E8" w:rsidRPr="00E479B8" w:rsidTr="00BF27F1">
        <w:trPr>
          <w:trHeight w:val="450"/>
          <w:jc w:val="center"/>
        </w:trPr>
        <w:tc>
          <w:tcPr>
            <w:tcW w:w="2127" w:type="dxa"/>
            <w:tcBorders>
              <w:top w:val="single" w:sz="4" w:space="0" w:color="auto"/>
              <w:left w:val="nil"/>
              <w:bottom w:val="single" w:sz="4" w:space="0" w:color="auto"/>
              <w:right w:val="nil"/>
            </w:tcBorders>
            <w:shd w:val="clear" w:color="000000" w:fill="FFFFFF"/>
            <w:noWrap/>
            <w:vAlign w:val="center"/>
            <w:hideMark/>
          </w:tcPr>
          <w:p w:rsidR="000452E8" w:rsidRPr="00E479B8" w:rsidRDefault="000452E8" w:rsidP="00E479B8">
            <w:pPr>
              <w:spacing w:after="0" w:line="240" w:lineRule="auto"/>
              <w:contextualSpacing w:val="0"/>
              <w:jc w:val="center"/>
              <w:rPr>
                <w:rFonts w:eastAsia="Times New Roman" w:cs="Arial"/>
                <w:color w:val="000000"/>
                <w:sz w:val="20"/>
                <w:szCs w:val="20"/>
                <w:lang w:eastAsia="pt-BR"/>
              </w:rPr>
            </w:pPr>
            <w:r w:rsidRPr="00E479B8">
              <w:rPr>
                <w:rFonts w:eastAsia="Times New Roman" w:cs="Arial"/>
                <w:color w:val="000000"/>
                <w:sz w:val="20"/>
                <w:szCs w:val="20"/>
                <w:lang w:eastAsia="pt-BR"/>
              </w:rPr>
              <w:t>Curso da Fresadora</w:t>
            </w:r>
          </w:p>
        </w:tc>
        <w:tc>
          <w:tcPr>
            <w:tcW w:w="2551" w:type="dxa"/>
            <w:tcBorders>
              <w:top w:val="single" w:sz="4" w:space="0" w:color="auto"/>
              <w:left w:val="nil"/>
              <w:bottom w:val="single" w:sz="4" w:space="0" w:color="auto"/>
              <w:right w:val="nil"/>
            </w:tcBorders>
            <w:shd w:val="clear" w:color="000000" w:fill="FFFFFF"/>
            <w:noWrap/>
            <w:vAlign w:val="center"/>
          </w:tcPr>
          <w:p w:rsidR="000452E8" w:rsidRPr="00E479B8" w:rsidRDefault="000452E8" w:rsidP="00E479B8">
            <w:pPr>
              <w:spacing w:after="0" w:line="240" w:lineRule="auto"/>
              <w:contextualSpacing w:val="0"/>
              <w:jc w:val="center"/>
              <w:rPr>
                <w:rFonts w:eastAsia="Times New Roman" w:cs="Arial"/>
                <w:color w:val="000000"/>
                <w:sz w:val="20"/>
                <w:szCs w:val="20"/>
                <w:lang w:eastAsia="pt-BR"/>
              </w:rPr>
            </w:pPr>
            <w:r w:rsidRPr="00E479B8">
              <w:rPr>
                <w:rFonts w:eastAsia="Times New Roman" w:cs="Arial"/>
                <w:color w:val="000000"/>
                <w:sz w:val="20"/>
                <w:szCs w:val="20"/>
                <w:lang w:eastAsia="pt-BR"/>
              </w:rPr>
              <w:t xml:space="preserve">Comprimento </w:t>
            </w:r>
            <m:oMath>
              <m:d>
                <m:dPr>
                  <m:ctrlPr>
                    <w:rPr>
                      <w:rFonts w:ascii="Cambria Math" w:hAnsi="Cambria Math" w:cs="Arial"/>
                      <w:i/>
                      <w:sz w:val="20"/>
                      <w:szCs w:val="20"/>
                    </w:rPr>
                  </m:ctrlPr>
                </m:dPr>
                <m:e>
                  <m:r>
                    <w:rPr>
                      <w:rFonts w:ascii="Cambria Math" w:hAnsi="Cambria Math" w:cs="Arial"/>
                      <w:sz w:val="20"/>
                      <w:szCs w:val="20"/>
                    </w:rPr>
                    <m:t>L</m:t>
                  </m:r>
                </m:e>
              </m:d>
            </m:oMath>
          </w:p>
        </w:tc>
        <w:tc>
          <w:tcPr>
            <w:tcW w:w="2551" w:type="dxa"/>
            <w:tcBorders>
              <w:top w:val="single" w:sz="4" w:space="0" w:color="auto"/>
              <w:left w:val="nil"/>
              <w:bottom w:val="single" w:sz="4" w:space="0" w:color="auto"/>
              <w:right w:val="nil"/>
            </w:tcBorders>
            <w:shd w:val="clear" w:color="000000" w:fill="FFFFFF"/>
            <w:vAlign w:val="center"/>
          </w:tcPr>
          <w:p w:rsidR="000452E8" w:rsidRPr="00E479B8" w:rsidRDefault="000452E8" w:rsidP="00E479B8">
            <w:pPr>
              <w:spacing w:after="0" w:line="240" w:lineRule="auto"/>
              <w:contextualSpacing w:val="0"/>
              <w:jc w:val="center"/>
              <w:rPr>
                <w:rFonts w:eastAsia="Times New Roman" w:cs="Arial"/>
                <w:color w:val="000000"/>
                <w:sz w:val="20"/>
                <w:szCs w:val="20"/>
                <w:lang w:eastAsia="pt-BR"/>
              </w:rPr>
            </w:pPr>
            <w:r w:rsidRPr="00E479B8">
              <w:rPr>
                <w:rFonts w:eastAsia="Times New Roman" w:cs="Arial"/>
                <w:color w:val="000000"/>
                <w:sz w:val="20"/>
                <w:szCs w:val="20"/>
                <w:lang w:eastAsia="pt-BR"/>
              </w:rPr>
              <w:t>4,0 m</w:t>
            </w:r>
          </w:p>
        </w:tc>
        <w:tc>
          <w:tcPr>
            <w:tcW w:w="2126" w:type="dxa"/>
            <w:tcBorders>
              <w:top w:val="single" w:sz="4" w:space="0" w:color="auto"/>
              <w:left w:val="nil"/>
              <w:bottom w:val="single" w:sz="4" w:space="0" w:color="auto"/>
              <w:right w:val="nil"/>
            </w:tcBorders>
            <w:shd w:val="clear" w:color="000000" w:fill="FFFFFF"/>
            <w:vAlign w:val="center"/>
          </w:tcPr>
          <w:p w:rsidR="000452E8" w:rsidRPr="00E479B8" w:rsidRDefault="000452E8" w:rsidP="00E479B8">
            <w:pPr>
              <w:spacing w:after="0" w:line="240" w:lineRule="auto"/>
              <w:contextualSpacing w:val="0"/>
              <w:jc w:val="center"/>
              <w:rPr>
                <w:rFonts w:eastAsia="Times New Roman" w:cs="Arial"/>
                <w:color w:val="000000"/>
                <w:sz w:val="20"/>
                <w:szCs w:val="20"/>
                <w:lang w:eastAsia="pt-BR"/>
              </w:rPr>
            </w:pPr>
            <w:r w:rsidRPr="00E479B8">
              <w:rPr>
                <w:rFonts w:eastAsia="Times New Roman" w:cs="Arial"/>
                <w:color w:val="000000"/>
                <w:sz w:val="20"/>
                <w:szCs w:val="20"/>
                <w:lang w:eastAsia="pt-BR"/>
              </w:rPr>
              <w:t>± 0,050 mm</w:t>
            </w:r>
          </w:p>
        </w:tc>
      </w:tr>
      <w:tr w:rsidR="000452E8" w:rsidRPr="00E479B8" w:rsidTr="009A3683">
        <w:trPr>
          <w:trHeight w:val="450"/>
          <w:jc w:val="center"/>
        </w:trPr>
        <w:tc>
          <w:tcPr>
            <w:tcW w:w="2127" w:type="dxa"/>
            <w:tcBorders>
              <w:top w:val="nil"/>
              <w:left w:val="nil"/>
              <w:bottom w:val="single" w:sz="4" w:space="0" w:color="auto"/>
              <w:right w:val="nil"/>
            </w:tcBorders>
            <w:shd w:val="clear" w:color="000000" w:fill="FFFFFF"/>
            <w:noWrap/>
            <w:vAlign w:val="center"/>
            <w:hideMark/>
          </w:tcPr>
          <w:p w:rsidR="000452E8" w:rsidRPr="00E479B8" w:rsidRDefault="000452E8" w:rsidP="00E479B8">
            <w:pPr>
              <w:spacing w:after="0" w:line="240" w:lineRule="auto"/>
              <w:contextualSpacing w:val="0"/>
              <w:jc w:val="center"/>
              <w:rPr>
                <w:rFonts w:eastAsia="Times New Roman" w:cs="Arial"/>
                <w:color w:val="000000"/>
                <w:sz w:val="20"/>
                <w:szCs w:val="20"/>
                <w:lang w:eastAsia="pt-BR"/>
              </w:rPr>
            </w:pPr>
            <w:r w:rsidRPr="00E479B8">
              <w:rPr>
                <w:rFonts w:eastAsia="Times New Roman" w:cs="Arial"/>
                <w:color w:val="000000"/>
                <w:sz w:val="20"/>
                <w:szCs w:val="20"/>
                <w:lang w:eastAsia="pt-BR"/>
              </w:rPr>
              <w:t>Medidor de Vazão</w:t>
            </w:r>
          </w:p>
        </w:tc>
        <w:tc>
          <w:tcPr>
            <w:tcW w:w="2551" w:type="dxa"/>
            <w:tcBorders>
              <w:top w:val="nil"/>
              <w:left w:val="nil"/>
              <w:bottom w:val="single" w:sz="4" w:space="0" w:color="auto"/>
              <w:right w:val="nil"/>
            </w:tcBorders>
            <w:shd w:val="clear" w:color="000000" w:fill="FFFFFF"/>
            <w:noWrap/>
            <w:vAlign w:val="center"/>
          </w:tcPr>
          <w:p w:rsidR="000452E8" w:rsidRPr="00E479B8" w:rsidRDefault="000452E8" w:rsidP="00E479B8">
            <w:pPr>
              <w:spacing w:after="0" w:line="240" w:lineRule="auto"/>
              <w:contextualSpacing w:val="0"/>
              <w:jc w:val="center"/>
              <w:rPr>
                <w:rFonts w:eastAsia="Times New Roman" w:cs="Arial"/>
                <w:color w:val="000000"/>
                <w:sz w:val="20"/>
                <w:szCs w:val="20"/>
                <w:lang w:eastAsia="pt-BR"/>
              </w:rPr>
            </w:pPr>
            <w:r w:rsidRPr="00E479B8">
              <w:rPr>
                <w:rFonts w:eastAsia="Times New Roman" w:cs="Arial"/>
                <w:color w:val="000000"/>
                <w:sz w:val="20"/>
                <w:szCs w:val="20"/>
                <w:lang w:eastAsia="pt-BR"/>
              </w:rPr>
              <w:t>Vazão</w:t>
            </w:r>
            <w:r w:rsidR="009A3683" w:rsidRPr="00E479B8">
              <w:rPr>
                <w:rFonts w:eastAsia="Times New Roman" w:cs="Arial"/>
                <w:color w:val="000000"/>
                <w:sz w:val="20"/>
                <w:szCs w:val="20"/>
                <w:lang w:eastAsia="pt-BR"/>
              </w:rPr>
              <w:t xml:space="preserve"> </w:t>
            </w:r>
            <m:oMath>
              <m:d>
                <m:dPr>
                  <m:ctrlPr>
                    <w:rPr>
                      <w:rFonts w:ascii="Cambria Math" w:hAnsi="Cambria Math" w:cs="Arial"/>
                      <w:i/>
                      <w:sz w:val="20"/>
                      <w:szCs w:val="20"/>
                    </w:rPr>
                  </m:ctrlPr>
                </m:dPr>
                <m:e>
                  <m:r>
                    <w:rPr>
                      <w:rFonts w:ascii="Cambria Math" w:hAnsi="Cambria Math" w:cs="Arial"/>
                      <w:sz w:val="20"/>
                      <w:szCs w:val="20"/>
                    </w:rPr>
                    <m:t>Q</m:t>
                  </m:r>
                </m:e>
              </m:d>
            </m:oMath>
          </w:p>
        </w:tc>
        <w:tc>
          <w:tcPr>
            <w:tcW w:w="2551" w:type="dxa"/>
            <w:tcBorders>
              <w:top w:val="nil"/>
              <w:left w:val="nil"/>
              <w:bottom w:val="single" w:sz="4" w:space="0" w:color="auto"/>
              <w:right w:val="nil"/>
            </w:tcBorders>
            <w:shd w:val="clear" w:color="000000" w:fill="FFFFFF"/>
            <w:vAlign w:val="center"/>
          </w:tcPr>
          <w:p w:rsidR="000452E8" w:rsidRPr="00E479B8" w:rsidRDefault="000452E8" w:rsidP="00E479B8">
            <w:pPr>
              <w:spacing w:after="0" w:line="240" w:lineRule="auto"/>
              <w:contextualSpacing w:val="0"/>
              <w:jc w:val="center"/>
              <w:rPr>
                <w:rFonts w:eastAsia="Times New Roman" w:cs="Arial"/>
                <w:color w:val="000000"/>
                <w:sz w:val="20"/>
                <w:szCs w:val="20"/>
                <w:lang w:eastAsia="pt-BR"/>
              </w:rPr>
            </w:pPr>
            <w:r w:rsidRPr="00E479B8">
              <w:rPr>
                <w:rFonts w:eastAsia="Times New Roman" w:cs="Arial"/>
                <w:color w:val="000000"/>
                <w:sz w:val="20"/>
                <w:szCs w:val="20"/>
                <w:lang w:eastAsia="pt-BR"/>
              </w:rPr>
              <w:t>2,0 a 4,0 m³/h</w:t>
            </w:r>
          </w:p>
        </w:tc>
        <w:tc>
          <w:tcPr>
            <w:tcW w:w="2126" w:type="dxa"/>
            <w:tcBorders>
              <w:top w:val="nil"/>
              <w:left w:val="nil"/>
              <w:bottom w:val="single" w:sz="4" w:space="0" w:color="auto"/>
              <w:right w:val="nil"/>
            </w:tcBorders>
            <w:shd w:val="clear" w:color="000000" w:fill="FFFFFF"/>
            <w:vAlign w:val="center"/>
          </w:tcPr>
          <w:p w:rsidR="000452E8" w:rsidRPr="00E479B8" w:rsidRDefault="000452E8" w:rsidP="00E479B8">
            <w:pPr>
              <w:spacing w:after="0" w:line="240" w:lineRule="auto"/>
              <w:contextualSpacing w:val="0"/>
              <w:jc w:val="center"/>
              <w:rPr>
                <w:rFonts w:eastAsia="Times New Roman" w:cs="Arial"/>
                <w:color w:val="000000"/>
                <w:sz w:val="20"/>
                <w:szCs w:val="20"/>
                <w:lang w:eastAsia="pt-BR"/>
              </w:rPr>
            </w:pPr>
            <w:r w:rsidRPr="00E479B8">
              <w:rPr>
                <w:rFonts w:eastAsia="Times New Roman" w:cs="Arial"/>
                <w:color w:val="000000"/>
                <w:sz w:val="20"/>
                <w:szCs w:val="20"/>
                <w:lang w:eastAsia="pt-BR"/>
              </w:rPr>
              <w:t>± 0,50 %</w:t>
            </w:r>
          </w:p>
        </w:tc>
      </w:tr>
      <w:tr w:rsidR="009A3683" w:rsidRPr="00E479B8" w:rsidTr="009A3683">
        <w:trPr>
          <w:trHeight w:val="450"/>
          <w:jc w:val="center"/>
        </w:trPr>
        <w:tc>
          <w:tcPr>
            <w:tcW w:w="2127" w:type="dxa"/>
            <w:tcBorders>
              <w:top w:val="single" w:sz="4" w:space="0" w:color="auto"/>
              <w:left w:val="nil"/>
              <w:bottom w:val="single" w:sz="4" w:space="0" w:color="auto"/>
              <w:right w:val="nil"/>
            </w:tcBorders>
            <w:shd w:val="clear" w:color="000000" w:fill="FFFFFF"/>
            <w:noWrap/>
            <w:vAlign w:val="center"/>
          </w:tcPr>
          <w:p w:rsidR="009A3683" w:rsidRPr="00E479B8" w:rsidRDefault="009A3683" w:rsidP="00E479B8">
            <w:pPr>
              <w:spacing w:after="0" w:line="240" w:lineRule="auto"/>
              <w:contextualSpacing w:val="0"/>
              <w:jc w:val="center"/>
              <w:rPr>
                <w:rFonts w:eastAsia="Times New Roman" w:cs="Arial"/>
                <w:color w:val="000000"/>
                <w:sz w:val="20"/>
                <w:szCs w:val="20"/>
                <w:lang w:eastAsia="pt-BR"/>
              </w:rPr>
            </w:pPr>
            <w:r w:rsidRPr="00E479B8">
              <w:rPr>
                <w:rFonts w:eastAsia="Times New Roman" w:cs="Arial"/>
                <w:color w:val="000000"/>
                <w:sz w:val="20"/>
                <w:szCs w:val="20"/>
                <w:lang w:eastAsia="pt-BR"/>
              </w:rPr>
              <w:t>-</w:t>
            </w:r>
          </w:p>
        </w:tc>
        <w:tc>
          <w:tcPr>
            <w:tcW w:w="2551" w:type="dxa"/>
            <w:tcBorders>
              <w:top w:val="single" w:sz="4" w:space="0" w:color="auto"/>
              <w:left w:val="nil"/>
              <w:bottom w:val="single" w:sz="4" w:space="0" w:color="auto"/>
              <w:right w:val="nil"/>
            </w:tcBorders>
            <w:shd w:val="clear" w:color="000000" w:fill="FFFFFF"/>
            <w:noWrap/>
            <w:vAlign w:val="center"/>
          </w:tcPr>
          <w:p w:rsidR="009A3683" w:rsidRPr="00E479B8" w:rsidRDefault="009A3683" w:rsidP="00E479B8">
            <w:pPr>
              <w:spacing w:after="0" w:line="240" w:lineRule="auto"/>
              <w:contextualSpacing w:val="0"/>
              <w:jc w:val="center"/>
              <w:rPr>
                <w:rFonts w:eastAsia="Times New Roman" w:cs="Arial"/>
                <w:color w:val="000000"/>
                <w:sz w:val="20"/>
                <w:szCs w:val="20"/>
                <w:lang w:eastAsia="pt-BR"/>
              </w:rPr>
            </w:pPr>
            <w:r w:rsidRPr="00E479B8">
              <w:rPr>
                <w:rFonts w:eastAsia="Times New Roman" w:cs="Arial"/>
                <w:color w:val="000000"/>
                <w:sz w:val="20"/>
                <w:szCs w:val="20"/>
                <w:lang w:eastAsia="pt-BR"/>
              </w:rPr>
              <w:t xml:space="preserve">Massa específica </w:t>
            </w:r>
            <m:oMath>
              <m:r>
                <m:rPr>
                  <m:sty m:val="p"/>
                </m:rPr>
                <w:rPr>
                  <w:rFonts w:ascii="Cambria Math" w:eastAsia="Times New Roman" w:hAnsi="Cambria Math" w:cs="Arial"/>
                  <w:color w:val="000000"/>
                  <w:sz w:val="20"/>
                  <w:szCs w:val="20"/>
                  <w:lang w:eastAsia="pt-BR"/>
                </w:rPr>
                <m:t>(</m:t>
              </m:r>
              <m:r>
                <w:rPr>
                  <w:rFonts w:ascii="Cambria Math" w:eastAsia="Times New Roman" w:hAnsi="Cambria Math" w:cs="Arial"/>
                  <w:color w:val="000000"/>
                  <w:sz w:val="20"/>
                  <w:szCs w:val="20"/>
                  <w:lang w:eastAsia="pt-BR"/>
                </w:rPr>
                <m:t>ρ</m:t>
              </m:r>
              <m:r>
                <m:rPr>
                  <m:sty m:val="p"/>
                </m:rPr>
                <w:rPr>
                  <w:rFonts w:ascii="Cambria Math" w:eastAsia="Times New Roman" w:hAnsi="Cambria Math" w:cs="Arial"/>
                  <w:color w:val="000000"/>
                  <w:sz w:val="20"/>
                  <w:szCs w:val="20"/>
                  <w:lang w:eastAsia="pt-BR"/>
                </w:rPr>
                <m:t>)</m:t>
              </m:r>
            </m:oMath>
          </w:p>
        </w:tc>
        <w:tc>
          <w:tcPr>
            <w:tcW w:w="2551" w:type="dxa"/>
            <w:tcBorders>
              <w:top w:val="single" w:sz="4" w:space="0" w:color="auto"/>
              <w:left w:val="nil"/>
              <w:bottom w:val="single" w:sz="4" w:space="0" w:color="auto"/>
              <w:right w:val="nil"/>
            </w:tcBorders>
            <w:shd w:val="clear" w:color="000000" w:fill="FFFFFF"/>
            <w:vAlign w:val="center"/>
          </w:tcPr>
          <w:p w:rsidR="009A3683" w:rsidRPr="00E479B8" w:rsidRDefault="009A3683" w:rsidP="00E479B8">
            <w:pPr>
              <w:spacing w:after="0" w:line="240" w:lineRule="auto"/>
              <w:contextualSpacing w:val="0"/>
              <w:jc w:val="center"/>
              <w:rPr>
                <w:rFonts w:eastAsia="Times New Roman" w:cs="Arial"/>
                <w:color w:val="000000"/>
                <w:sz w:val="20"/>
                <w:szCs w:val="20"/>
                <w:lang w:eastAsia="pt-BR"/>
              </w:rPr>
            </w:pPr>
            <w:r w:rsidRPr="00E479B8">
              <w:rPr>
                <w:rFonts w:eastAsia="Times New Roman" w:cs="Arial"/>
                <w:color w:val="000000"/>
                <w:sz w:val="20"/>
                <w:szCs w:val="20"/>
                <w:lang w:eastAsia="pt-BR"/>
              </w:rPr>
              <w:t>998 kg/m³</w:t>
            </w:r>
          </w:p>
        </w:tc>
        <w:tc>
          <w:tcPr>
            <w:tcW w:w="2126" w:type="dxa"/>
            <w:tcBorders>
              <w:top w:val="single" w:sz="4" w:space="0" w:color="auto"/>
              <w:left w:val="nil"/>
              <w:bottom w:val="single" w:sz="4" w:space="0" w:color="auto"/>
              <w:right w:val="nil"/>
            </w:tcBorders>
            <w:shd w:val="clear" w:color="000000" w:fill="FFFFFF"/>
            <w:vAlign w:val="center"/>
          </w:tcPr>
          <w:p w:rsidR="009A3683" w:rsidRPr="00E479B8" w:rsidRDefault="009A3683" w:rsidP="00E479B8">
            <w:pPr>
              <w:spacing w:after="0" w:line="240" w:lineRule="auto"/>
              <w:contextualSpacing w:val="0"/>
              <w:jc w:val="center"/>
              <w:rPr>
                <w:rFonts w:eastAsia="Times New Roman" w:cs="Arial"/>
                <w:color w:val="000000"/>
                <w:sz w:val="20"/>
                <w:szCs w:val="20"/>
                <w:lang w:eastAsia="pt-BR"/>
              </w:rPr>
            </w:pPr>
            <w:r w:rsidRPr="00E479B8">
              <w:rPr>
                <w:rFonts w:eastAsia="Times New Roman" w:cs="Arial"/>
                <w:color w:val="000000"/>
                <w:sz w:val="20"/>
                <w:szCs w:val="20"/>
                <w:lang w:eastAsia="pt-BR"/>
              </w:rPr>
              <w:t>-</w:t>
            </w:r>
          </w:p>
        </w:tc>
      </w:tr>
    </w:tbl>
    <w:p w:rsidR="00172AD8" w:rsidRPr="00D377E7" w:rsidRDefault="00C75E31" w:rsidP="00C75E31">
      <w:pPr>
        <w:jc w:val="center"/>
        <w:rPr>
          <w:rFonts w:eastAsiaTheme="minorEastAsia"/>
        </w:rPr>
      </w:pPr>
      <w:r>
        <w:rPr>
          <w:rFonts w:eastAsiaTheme="minorEastAsia"/>
        </w:rPr>
        <w:t>Fonte: Autoria própria</w:t>
      </w:r>
    </w:p>
    <w:p w:rsidR="003A44A8" w:rsidRDefault="003A44A8" w:rsidP="000B661A">
      <w:pPr>
        <w:pStyle w:val="Nvel1-PG"/>
      </w:pPr>
    </w:p>
    <w:p w:rsidR="003A44A8" w:rsidRDefault="003A44A8" w:rsidP="000B661A">
      <w:pPr>
        <w:pStyle w:val="Nvel1-PG"/>
      </w:pPr>
    </w:p>
    <w:p w:rsidR="00766644" w:rsidRDefault="00766644" w:rsidP="000B661A">
      <w:pPr>
        <w:pStyle w:val="Nvel1-PG"/>
      </w:pPr>
    </w:p>
    <w:p w:rsidR="004351C8" w:rsidRDefault="004351C8" w:rsidP="000B661A">
      <w:pPr>
        <w:pStyle w:val="Nvel1-PG"/>
      </w:pPr>
    </w:p>
    <w:p w:rsidR="004351C8" w:rsidRDefault="004351C8" w:rsidP="000B661A">
      <w:pPr>
        <w:pStyle w:val="Nvel1-PG"/>
      </w:pPr>
    </w:p>
    <w:p w:rsidR="004351C8" w:rsidRDefault="004351C8" w:rsidP="000B661A">
      <w:pPr>
        <w:pStyle w:val="Nvel1-PG"/>
      </w:pPr>
    </w:p>
    <w:p w:rsidR="004351C8" w:rsidRDefault="004351C8" w:rsidP="000B661A">
      <w:pPr>
        <w:pStyle w:val="Nvel1-PG"/>
      </w:pPr>
    </w:p>
    <w:p w:rsidR="004351C8" w:rsidRDefault="004351C8" w:rsidP="000B661A">
      <w:pPr>
        <w:pStyle w:val="Nvel1-PG"/>
      </w:pPr>
    </w:p>
    <w:p w:rsidR="000B661A" w:rsidRDefault="000B661A" w:rsidP="005341EF">
      <w:pPr>
        <w:pStyle w:val="Nvel1-PG"/>
        <w:numPr>
          <w:ilvl w:val="0"/>
          <w:numId w:val="7"/>
        </w:numPr>
        <w:tabs>
          <w:tab w:val="left" w:pos="284"/>
        </w:tabs>
        <w:ind w:left="0" w:firstLine="0"/>
      </w:pPr>
      <w:bookmarkStart w:id="116" w:name="_Toc488678369"/>
      <w:r>
        <w:lastRenderedPageBreak/>
        <w:t>RESULTADOS</w:t>
      </w:r>
      <w:bookmarkEnd w:id="116"/>
    </w:p>
    <w:p w:rsidR="00F30DA0" w:rsidRDefault="00F30DA0" w:rsidP="00A16BA1">
      <w:r w:rsidRPr="003A44A8">
        <w:t xml:space="preserve">Os resultados experimentais apresentados nesta seção expõem o comportamento das diferentes soluções ensaiadas sob o efeito do escoamento </w:t>
      </w:r>
      <w:r w:rsidR="00586135">
        <w:t>por meio</w:t>
      </w:r>
      <w:r w:rsidRPr="003A44A8">
        <w:t xml:space="preserve"> de bomba</w:t>
      </w:r>
      <w:r w:rsidR="00295AC9" w:rsidRPr="003A44A8">
        <w:t xml:space="preserve">s centrífugas ao longo de um extenso tempo. </w:t>
      </w:r>
      <w:r w:rsidRPr="003A44A8">
        <w:t xml:space="preserve">Poucos trabalhos são encontrados na literatura que observam a degradação do polímero em função do </w:t>
      </w:r>
      <w:r w:rsidR="00295AC9" w:rsidRPr="003A44A8">
        <w:t xml:space="preserve">tempo em tais condições. </w:t>
      </w:r>
      <w:r w:rsidRPr="003A44A8">
        <w:t xml:space="preserve">Uma análise sobre </w:t>
      </w:r>
      <w:r w:rsidR="0038314C" w:rsidRPr="003A44A8">
        <w:t>o tipo d</w:t>
      </w:r>
      <w:r w:rsidR="00586135">
        <w:t>e polímero (rígido ou flexível) e a</w:t>
      </w:r>
      <w:r w:rsidRPr="003A44A8">
        <w:t xml:space="preserve"> influência da concentração e do </w:t>
      </w:r>
      <w:r w:rsidR="00295AC9" w:rsidRPr="003A44A8">
        <w:t>número de Reynolds</w:t>
      </w:r>
      <w:r w:rsidRPr="003A44A8">
        <w:t xml:space="preserve"> em função do </w:t>
      </w:r>
      <w:r w:rsidR="0038314C" w:rsidRPr="003A44A8">
        <w:t>tempo, nestas condições,</w:t>
      </w:r>
      <w:r w:rsidR="00295AC9" w:rsidRPr="003A44A8">
        <w:t xml:space="preserve"> é</w:t>
      </w:r>
      <w:r w:rsidRPr="003A44A8">
        <w:t xml:space="preserve"> </w:t>
      </w:r>
      <w:r w:rsidR="00295AC9" w:rsidRPr="003A44A8">
        <w:t>necessária</w:t>
      </w:r>
      <w:r w:rsidRPr="003A44A8">
        <w:t xml:space="preserve"> </w:t>
      </w:r>
      <w:r w:rsidR="00295AC9" w:rsidRPr="003A44A8">
        <w:t>devido à gama</w:t>
      </w:r>
      <w:r w:rsidRPr="003A44A8">
        <w:t xml:space="preserve"> de aplicações técnica</w:t>
      </w:r>
      <w:r w:rsidR="00295AC9" w:rsidRPr="003A44A8">
        <w:t>s da</w:t>
      </w:r>
      <w:r w:rsidRPr="003A44A8">
        <w:t xml:space="preserve"> redução de arraste em circuitos com recirculação.</w:t>
      </w:r>
      <w:r w:rsidR="0038314C" w:rsidRPr="003A44A8">
        <w:t xml:space="preserve"> </w:t>
      </w:r>
      <w:r w:rsidR="003A44A8" w:rsidRPr="003A44A8">
        <w:t xml:space="preserve">A </w:t>
      </w:r>
      <w:r w:rsidR="003A44A8" w:rsidRPr="003A44A8">
        <w:fldChar w:fldCharType="begin"/>
      </w:r>
      <w:r w:rsidR="003A44A8" w:rsidRPr="003A44A8">
        <w:instrText xml:space="preserve"> REF _Ref488110700 \h  \* MERGEFORMAT </w:instrText>
      </w:r>
      <w:r w:rsidR="003A44A8" w:rsidRPr="003A44A8">
        <w:fldChar w:fldCharType="separate"/>
      </w:r>
      <w:r w:rsidR="00380A8E">
        <w:t>Tabela 3</w:t>
      </w:r>
      <w:r w:rsidR="003A44A8" w:rsidRPr="003A44A8">
        <w:fldChar w:fldCharType="end"/>
      </w:r>
      <w:r w:rsidR="0038314C" w:rsidRPr="003A44A8">
        <w:t xml:space="preserve"> apresenta uma lista com todas as combinações de experimentos executados para este trabalho</w:t>
      </w:r>
      <w:r w:rsidR="0038314C" w:rsidRPr="00295AC9">
        <w:t>.</w:t>
      </w:r>
    </w:p>
    <w:p w:rsidR="00F30DA0" w:rsidRDefault="00F30DA0" w:rsidP="00A16BA1"/>
    <w:p w:rsidR="00F30DA0" w:rsidRPr="002855BE" w:rsidRDefault="00F30DA0" w:rsidP="008C6988">
      <w:pPr>
        <w:pStyle w:val="Tabela-PG"/>
      </w:pPr>
      <w:bookmarkStart w:id="117" w:name="_Ref488110700"/>
      <w:bookmarkStart w:id="118" w:name="_Toc488706084"/>
      <w:r w:rsidRPr="002855BE">
        <w:t xml:space="preserve">Tabela </w:t>
      </w:r>
      <w:fldSimple w:instr=" SEQ Tabela \* ARABIC ">
        <w:r w:rsidR="00C91A0F">
          <w:rPr>
            <w:noProof/>
          </w:rPr>
          <w:t>3</w:t>
        </w:r>
      </w:fldSimple>
      <w:bookmarkEnd w:id="117"/>
      <w:r w:rsidR="00186081">
        <w:t xml:space="preserve"> - </w:t>
      </w:r>
      <w:r w:rsidRPr="002855BE">
        <w:t>Informações dos testes realizados.</w:t>
      </w:r>
      <w:bookmarkEnd w:id="118"/>
    </w:p>
    <w:tbl>
      <w:tblPr>
        <w:tblW w:w="9072" w:type="dxa"/>
        <w:tblCellMar>
          <w:left w:w="70" w:type="dxa"/>
          <w:right w:w="70" w:type="dxa"/>
        </w:tblCellMar>
        <w:tblLook w:val="04A0" w:firstRow="1" w:lastRow="0" w:firstColumn="1" w:lastColumn="0" w:noHBand="0" w:noVBand="1"/>
      </w:tblPr>
      <w:tblGrid>
        <w:gridCol w:w="1141"/>
        <w:gridCol w:w="1836"/>
        <w:gridCol w:w="1219"/>
        <w:gridCol w:w="1219"/>
        <w:gridCol w:w="1219"/>
        <w:gridCol w:w="1219"/>
        <w:gridCol w:w="1219"/>
      </w:tblGrid>
      <w:tr w:rsidR="004351C8" w:rsidRPr="003A1859" w:rsidTr="004351C8">
        <w:trPr>
          <w:trHeight w:val="671"/>
        </w:trPr>
        <w:tc>
          <w:tcPr>
            <w:tcW w:w="1141" w:type="dxa"/>
            <w:tcBorders>
              <w:top w:val="single" w:sz="4" w:space="0" w:color="auto"/>
              <w:left w:val="nil"/>
              <w:bottom w:val="single" w:sz="4" w:space="0" w:color="auto"/>
              <w:right w:val="nil"/>
            </w:tcBorders>
            <w:shd w:val="clear" w:color="000000" w:fill="FFFFFF"/>
            <w:noWrap/>
            <w:vAlign w:val="center"/>
            <w:hideMark/>
          </w:tcPr>
          <w:p w:rsidR="004351C8" w:rsidRPr="003A1859" w:rsidRDefault="004351C8" w:rsidP="004351C8">
            <w:pPr>
              <w:spacing w:after="0" w:line="240" w:lineRule="auto"/>
              <w:contextualSpacing w:val="0"/>
              <w:jc w:val="center"/>
              <w:rPr>
                <w:rFonts w:eastAsia="Times New Roman" w:cs="Arial"/>
                <w:b/>
                <w:i/>
                <w:iCs/>
                <w:color w:val="000000"/>
                <w:szCs w:val="24"/>
                <w:lang w:eastAsia="pt-BR"/>
              </w:rPr>
            </w:pPr>
            <w:r>
              <w:rPr>
                <w:rFonts w:eastAsia="Times New Roman" w:cs="Arial"/>
                <w:b/>
                <w:i/>
                <w:iCs/>
                <w:color w:val="000000"/>
                <w:szCs w:val="24"/>
                <w:lang w:eastAsia="pt-BR"/>
              </w:rPr>
              <w:t>Solvente</w:t>
            </w:r>
          </w:p>
        </w:tc>
        <w:tc>
          <w:tcPr>
            <w:tcW w:w="1836" w:type="dxa"/>
            <w:tcBorders>
              <w:top w:val="single" w:sz="4" w:space="0" w:color="auto"/>
              <w:left w:val="nil"/>
              <w:bottom w:val="single" w:sz="4" w:space="0" w:color="auto"/>
              <w:right w:val="nil"/>
            </w:tcBorders>
            <w:shd w:val="clear" w:color="000000" w:fill="FFFFFF"/>
            <w:noWrap/>
            <w:vAlign w:val="center"/>
            <w:hideMark/>
          </w:tcPr>
          <w:p w:rsidR="004351C8" w:rsidRPr="003A1859" w:rsidRDefault="004351C8" w:rsidP="004351C8">
            <w:pPr>
              <w:spacing w:after="0" w:line="240" w:lineRule="auto"/>
              <w:contextualSpacing w:val="0"/>
              <w:jc w:val="center"/>
              <w:rPr>
                <w:rFonts w:eastAsia="Times New Roman" w:cs="Arial"/>
                <w:b/>
                <w:i/>
                <w:iCs/>
                <w:color w:val="000000"/>
                <w:szCs w:val="24"/>
                <w:lang w:eastAsia="pt-BR"/>
              </w:rPr>
            </w:pPr>
            <w:r>
              <w:rPr>
                <w:rFonts w:eastAsia="Times New Roman" w:cs="Arial"/>
                <w:b/>
                <w:i/>
                <w:iCs/>
                <w:color w:val="000000"/>
                <w:szCs w:val="24"/>
                <w:lang w:eastAsia="pt-BR"/>
              </w:rPr>
              <w:t>Polímero</w:t>
            </w:r>
          </w:p>
        </w:tc>
        <w:tc>
          <w:tcPr>
            <w:tcW w:w="1219" w:type="dxa"/>
            <w:tcBorders>
              <w:top w:val="single" w:sz="4" w:space="0" w:color="auto"/>
              <w:left w:val="nil"/>
              <w:bottom w:val="single" w:sz="4" w:space="0" w:color="auto"/>
              <w:right w:val="nil"/>
            </w:tcBorders>
            <w:shd w:val="clear" w:color="000000" w:fill="FFFFFF"/>
            <w:vAlign w:val="center"/>
          </w:tcPr>
          <w:p w:rsidR="004351C8" w:rsidRPr="00295AC9" w:rsidRDefault="004351C8" w:rsidP="004351C8">
            <w:pPr>
              <w:spacing w:after="0" w:line="240" w:lineRule="auto"/>
              <w:contextualSpacing w:val="0"/>
              <w:jc w:val="center"/>
              <w:rPr>
                <w:rFonts w:eastAsia="Times New Roman" w:cs="Arial"/>
                <w:b/>
                <w:i/>
                <w:iCs/>
                <w:color w:val="000000"/>
                <w:szCs w:val="24"/>
                <w:lang w:eastAsia="pt-BR"/>
              </w:rPr>
            </w:pPr>
            <w:r w:rsidRPr="00295AC9">
              <w:rPr>
                <w:rFonts w:eastAsia="Times New Roman" w:cs="Arial"/>
                <w:b/>
                <w:i/>
                <w:iCs/>
                <w:color w:val="000000"/>
                <w:sz w:val="20"/>
                <w:szCs w:val="24"/>
                <w:lang w:eastAsia="pt-BR"/>
              </w:rPr>
              <w:t xml:space="preserve">Duração Teste </w:t>
            </w:r>
            <m:oMath>
              <m:r>
                <m:rPr>
                  <m:sty m:val="bi"/>
                </m:rPr>
                <w:rPr>
                  <w:rFonts w:ascii="Cambria Math" w:eastAsia="Times New Roman" w:hAnsi="Cambria Math" w:cs="Arial"/>
                  <w:color w:val="000000"/>
                  <w:szCs w:val="24"/>
                  <w:lang w:eastAsia="pt-BR"/>
                </w:rPr>
                <m:t>[h]</m:t>
              </m:r>
            </m:oMath>
          </w:p>
        </w:tc>
        <w:tc>
          <w:tcPr>
            <w:tcW w:w="1219" w:type="dxa"/>
            <w:tcBorders>
              <w:top w:val="single" w:sz="4" w:space="0" w:color="auto"/>
              <w:left w:val="nil"/>
              <w:bottom w:val="single" w:sz="4" w:space="0" w:color="auto"/>
              <w:right w:val="nil"/>
            </w:tcBorders>
            <w:shd w:val="clear" w:color="000000" w:fill="FFFFFF"/>
            <w:vAlign w:val="center"/>
          </w:tcPr>
          <w:p w:rsidR="004351C8" w:rsidRPr="00984DD7" w:rsidRDefault="004351C8" w:rsidP="004351C8">
            <w:pPr>
              <w:spacing w:after="0" w:line="240" w:lineRule="auto"/>
              <w:contextualSpacing w:val="0"/>
              <w:jc w:val="center"/>
              <w:rPr>
                <w:rFonts w:eastAsia="Times New Roman" w:cs="Arial"/>
                <w:b/>
                <w:i/>
                <w:color w:val="000000"/>
                <w:szCs w:val="24"/>
                <w:lang w:eastAsia="pt-BR"/>
              </w:rPr>
            </w:pPr>
            <m:oMathPara>
              <m:oMath>
                <m:r>
                  <m:rPr>
                    <m:sty m:val="bi"/>
                  </m:rPr>
                  <w:rPr>
                    <w:rFonts w:ascii="Cambria Math" w:eastAsia="Times New Roman" w:hAnsi="Cambria Math" w:cs="Arial"/>
                    <w:color w:val="000000"/>
                    <w:szCs w:val="24"/>
                    <w:lang w:eastAsia="pt-BR"/>
                  </w:rPr>
                  <m:t>c</m:t>
                </m:r>
              </m:oMath>
            </m:oMathPara>
          </w:p>
          <w:p w:rsidR="004351C8" w:rsidRPr="003A1859" w:rsidRDefault="004351C8" w:rsidP="004351C8">
            <w:pPr>
              <w:spacing w:after="0" w:line="240" w:lineRule="auto"/>
              <w:contextualSpacing w:val="0"/>
              <w:jc w:val="center"/>
              <w:rPr>
                <w:rFonts w:eastAsia="Times New Roman" w:cs="Arial"/>
                <w:b/>
                <w:i/>
                <w:iCs/>
                <w:color w:val="000000"/>
                <w:szCs w:val="24"/>
                <w:lang w:eastAsia="pt-BR"/>
              </w:rPr>
            </w:pPr>
            <m:oMathPara>
              <m:oMath>
                <m:r>
                  <m:rPr>
                    <m:sty m:val="bi"/>
                  </m:rPr>
                  <w:rPr>
                    <w:rFonts w:ascii="Cambria Math" w:eastAsia="Times New Roman" w:hAnsi="Cambria Math" w:cs="Arial"/>
                    <w:color w:val="000000"/>
                    <w:szCs w:val="24"/>
                    <w:lang w:eastAsia="pt-BR"/>
                  </w:rPr>
                  <m:t>[ppm]</m:t>
                </m:r>
              </m:oMath>
            </m:oMathPara>
          </w:p>
        </w:tc>
        <w:tc>
          <w:tcPr>
            <w:tcW w:w="1219" w:type="dxa"/>
            <w:tcBorders>
              <w:top w:val="single" w:sz="4" w:space="0" w:color="auto"/>
              <w:left w:val="nil"/>
              <w:bottom w:val="single" w:sz="4" w:space="0" w:color="auto"/>
              <w:right w:val="nil"/>
            </w:tcBorders>
            <w:shd w:val="clear" w:color="000000" w:fill="FFFFFF"/>
            <w:vAlign w:val="center"/>
          </w:tcPr>
          <w:p w:rsidR="004351C8" w:rsidRDefault="004351C8" w:rsidP="004351C8">
            <w:pPr>
              <w:spacing w:after="0" w:line="240" w:lineRule="auto"/>
              <w:contextualSpacing w:val="0"/>
              <w:jc w:val="center"/>
              <w:rPr>
                <w:rFonts w:eastAsia="Calibri" w:cs="Arial"/>
                <w:b/>
                <w:color w:val="000000"/>
                <w:szCs w:val="24"/>
                <w:lang w:eastAsia="pt-BR"/>
              </w:rPr>
            </w:pPr>
            <m:oMathPara>
              <m:oMath>
                <m:r>
                  <m:rPr>
                    <m:sty m:val="bi"/>
                  </m:rPr>
                  <w:rPr>
                    <w:rFonts w:ascii="Cambria Math" w:eastAsia="Times New Roman" w:hAnsi="Cambria Math" w:cs="Arial"/>
                    <w:color w:val="000000"/>
                    <w:szCs w:val="24"/>
                    <w:lang w:eastAsia="pt-BR"/>
                  </w:rPr>
                  <m:t>Re</m:t>
                </m:r>
              </m:oMath>
            </m:oMathPara>
          </w:p>
        </w:tc>
        <w:tc>
          <w:tcPr>
            <w:tcW w:w="1219" w:type="dxa"/>
            <w:tcBorders>
              <w:top w:val="single" w:sz="4" w:space="0" w:color="auto"/>
              <w:left w:val="nil"/>
              <w:bottom w:val="single" w:sz="4" w:space="0" w:color="auto"/>
              <w:right w:val="nil"/>
            </w:tcBorders>
            <w:shd w:val="clear" w:color="000000" w:fill="FFFFFF"/>
            <w:vAlign w:val="center"/>
          </w:tcPr>
          <w:p w:rsidR="004351C8" w:rsidRPr="00984DD7" w:rsidRDefault="00D83C6E" w:rsidP="004351C8">
            <w:pPr>
              <w:spacing w:after="0" w:line="240" w:lineRule="auto"/>
              <w:contextualSpacing w:val="0"/>
              <w:jc w:val="center"/>
              <w:rPr>
                <w:rFonts w:eastAsia="Times New Roman" w:cs="Arial"/>
                <w:b/>
                <w:i/>
                <w:iCs/>
                <w:color w:val="000000"/>
                <w:szCs w:val="24"/>
                <w:lang w:eastAsia="pt-BR"/>
              </w:rPr>
            </w:pPr>
            <m:oMathPara>
              <m:oMath>
                <m:acc>
                  <m:accPr>
                    <m:chr m:val="̇"/>
                    <m:ctrlPr>
                      <w:rPr>
                        <w:rFonts w:ascii="Cambria Math" w:eastAsia="Times New Roman" w:hAnsi="Cambria Math" w:cs="Arial"/>
                        <w:b/>
                        <w:i/>
                        <w:iCs/>
                        <w:color w:val="000000"/>
                        <w:szCs w:val="24"/>
                        <w:lang w:eastAsia="pt-BR"/>
                      </w:rPr>
                    </m:ctrlPr>
                  </m:accPr>
                  <m:e>
                    <m:r>
                      <m:rPr>
                        <m:sty m:val="bi"/>
                      </m:rPr>
                      <w:rPr>
                        <w:rFonts w:ascii="Cambria Math" w:eastAsia="Times New Roman" w:hAnsi="Cambria Math" w:cs="Arial"/>
                        <w:color w:val="000000"/>
                        <w:szCs w:val="24"/>
                        <w:lang w:eastAsia="pt-BR"/>
                      </w:rPr>
                      <m:t>Q</m:t>
                    </m:r>
                  </m:e>
                </m:acc>
              </m:oMath>
            </m:oMathPara>
          </w:p>
          <w:p w:rsidR="004351C8" w:rsidRPr="00984DD7" w:rsidRDefault="004351C8" w:rsidP="004351C8">
            <w:pPr>
              <w:spacing w:after="0" w:line="240" w:lineRule="auto"/>
              <w:contextualSpacing w:val="0"/>
              <w:jc w:val="center"/>
              <w:rPr>
                <w:rFonts w:eastAsia="Times New Roman" w:cs="Arial"/>
                <w:b/>
                <w:i/>
                <w:iCs/>
                <w:color w:val="000000"/>
                <w:szCs w:val="24"/>
                <w:lang w:eastAsia="pt-BR"/>
              </w:rPr>
            </w:pPr>
            <m:oMathPara>
              <m:oMath>
                <m:r>
                  <m:rPr>
                    <m:sty m:val="bi"/>
                  </m:rPr>
                  <w:rPr>
                    <w:rFonts w:ascii="Cambria Math" w:eastAsia="Times New Roman" w:hAnsi="Cambria Math" w:cs="Arial"/>
                    <w:color w:val="000000"/>
                    <w:szCs w:val="24"/>
                    <w:lang w:eastAsia="pt-BR"/>
                  </w:rPr>
                  <m:t>[m³/h]</m:t>
                </m:r>
              </m:oMath>
            </m:oMathPara>
          </w:p>
        </w:tc>
        <w:tc>
          <w:tcPr>
            <w:tcW w:w="1219" w:type="dxa"/>
            <w:tcBorders>
              <w:top w:val="single" w:sz="4" w:space="0" w:color="auto"/>
              <w:left w:val="nil"/>
              <w:bottom w:val="single" w:sz="4" w:space="0" w:color="auto"/>
              <w:right w:val="nil"/>
            </w:tcBorders>
            <w:shd w:val="clear" w:color="000000" w:fill="FFFFFF"/>
            <w:vAlign w:val="center"/>
          </w:tcPr>
          <w:p w:rsidR="004351C8" w:rsidRPr="00984DD7" w:rsidRDefault="004351C8" w:rsidP="004351C8">
            <w:pPr>
              <w:spacing w:after="0" w:line="240" w:lineRule="auto"/>
              <w:contextualSpacing w:val="0"/>
              <w:jc w:val="center"/>
              <w:rPr>
                <w:rFonts w:eastAsia="Times New Roman" w:cs="Arial"/>
                <w:b/>
                <w:i/>
                <w:color w:val="000000"/>
                <w:szCs w:val="24"/>
                <w:lang w:eastAsia="pt-BR"/>
              </w:rPr>
            </w:pPr>
            <m:oMathPara>
              <m:oMath>
                <m:r>
                  <m:rPr>
                    <m:sty m:val="bi"/>
                  </m:rPr>
                  <w:rPr>
                    <w:rFonts w:ascii="Cambria Math" w:eastAsia="Times New Roman" w:hAnsi="Cambria Math" w:cs="Arial"/>
                    <w:color w:val="000000"/>
                    <w:szCs w:val="24"/>
                    <w:lang w:eastAsia="pt-BR"/>
                  </w:rPr>
                  <m:t>T</m:t>
                </m:r>
              </m:oMath>
            </m:oMathPara>
          </w:p>
          <w:p w:rsidR="004351C8" w:rsidRPr="003A1859" w:rsidRDefault="004351C8" w:rsidP="004351C8">
            <w:pPr>
              <w:spacing w:after="0" w:line="240" w:lineRule="auto"/>
              <w:contextualSpacing w:val="0"/>
              <w:jc w:val="center"/>
              <w:rPr>
                <w:rFonts w:eastAsia="Times New Roman" w:cs="Arial"/>
                <w:b/>
                <w:i/>
                <w:iCs/>
                <w:color w:val="000000"/>
                <w:szCs w:val="24"/>
                <w:lang w:eastAsia="pt-BR"/>
              </w:rPr>
            </w:pPr>
            <m:oMathPara>
              <m:oMath>
                <m:r>
                  <m:rPr>
                    <m:sty m:val="bi"/>
                  </m:rPr>
                  <w:rPr>
                    <w:rFonts w:ascii="Cambria Math" w:eastAsia="Times New Roman" w:hAnsi="Cambria Math" w:cs="Arial"/>
                    <w:color w:val="000000"/>
                    <w:szCs w:val="24"/>
                    <w:lang w:eastAsia="pt-BR"/>
                  </w:rPr>
                  <m:t>[°C]</m:t>
                </m:r>
              </m:oMath>
            </m:oMathPara>
          </w:p>
        </w:tc>
      </w:tr>
      <w:tr w:rsidR="004351C8" w:rsidRPr="004351C8" w:rsidTr="004351C8">
        <w:trPr>
          <w:trHeight w:val="450"/>
        </w:trPr>
        <w:tc>
          <w:tcPr>
            <w:tcW w:w="1141" w:type="dxa"/>
            <w:tcBorders>
              <w:top w:val="nil"/>
              <w:left w:val="nil"/>
              <w:bottom w:val="single" w:sz="4" w:space="0" w:color="auto"/>
              <w:right w:val="nil"/>
            </w:tcBorders>
            <w:shd w:val="clear" w:color="000000" w:fill="FFFFFF"/>
            <w:noWrap/>
            <w:vAlign w:val="center"/>
          </w:tcPr>
          <w:p w:rsidR="004351C8" w:rsidRPr="004351C8" w:rsidRDefault="004351C8" w:rsidP="004351C8">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Água</w:t>
            </w:r>
          </w:p>
        </w:tc>
        <w:tc>
          <w:tcPr>
            <w:tcW w:w="1836" w:type="dxa"/>
            <w:tcBorders>
              <w:top w:val="nil"/>
              <w:left w:val="nil"/>
              <w:bottom w:val="single" w:sz="4" w:space="0" w:color="auto"/>
              <w:right w:val="nil"/>
            </w:tcBorders>
            <w:shd w:val="clear" w:color="000000" w:fill="FFFFFF"/>
            <w:noWrap/>
            <w:vAlign w:val="center"/>
          </w:tcPr>
          <w:p w:rsidR="004351C8" w:rsidRPr="004351C8" w:rsidRDefault="004351C8" w:rsidP="004351C8">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Goma Guar</w:t>
            </w:r>
          </w:p>
        </w:tc>
        <w:tc>
          <w:tcPr>
            <w:tcW w:w="1219" w:type="dxa"/>
            <w:tcBorders>
              <w:top w:val="nil"/>
              <w:left w:val="nil"/>
              <w:bottom w:val="single" w:sz="4" w:space="0" w:color="auto"/>
              <w:right w:val="nil"/>
            </w:tcBorders>
            <w:shd w:val="clear" w:color="000000" w:fill="FFFFFF"/>
            <w:vAlign w:val="center"/>
          </w:tcPr>
          <w:p w:rsidR="004351C8" w:rsidRPr="004351C8" w:rsidRDefault="004351C8" w:rsidP="004351C8">
            <w:pPr>
              <w:spacing w:after="0" w:line="240" w:lineRule="auto"/>
              <w:contextualSpacing w:val="0"/>
              <w:jc w:val="center"/>
              <w:rPr>
                <w:rFonts w:eastAsia="Times New Roman" w:cs="Arial"/>
                <w:b/>
                <w:i/>
                <w:iCs/>
                <w:color w:val="000000"/>
                <w:sz w:val="20"/>
                <w:szCs w:val="20"/>
                <w:lang w:eastAsia="pt-BR"/>
              </w:rPr>
            </w:pPr>
            <w:r w:rsidRPr="004351C8">
              <w:rPr>
                <w:rFonts w:eastAsia="Times New Roman" w:cs="Arial"/>
                <w:color w:val="000000"/>
                <w:sz w:val="20"/>
                <w:szCs w:val="20"/>
                <w:lang w:eastAsia="pt-BR"/>
              </w:rPr>
              <w:t>6</w:t>
            </w:r>
          </w:p>
        </w:tc>
        <w:tc>
          <w:tcPr>
            <w:tcW w:w="1219" w:type="dxa"/>
            <w:tcBorders>
              <w:top w:val="nil"/>
              <w:left w:val="nil"/>
              <w:bottom w:val="single" w:sz="4" w:space="0" w:color="auto"/>
              <w:right w:val="nil"/>
            </w:tcBorders>
            <w:shd w:val="clear" w:color="000000" w:fill="FFFFFF"/>
            <w:vAlign w:val="center"/>
          </w:tcPr>
          <w:p w:rsidR="004351C8" w:rsidRPr="004351C8" w:rsidRDefault="004351C8" w:rsidP="004351C8">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50</w:t>
            </w:r>
          </w:p>
        </w:tc>
        <w:tc>
          <w:tcPr>
            <w:tcW w:w="1219" w:type="dxa"/>
            <w:tcBorders>
              <w:top w:val="nil"/>
              <w:left w:val="nil"/>
              <w:bottom w:val="single" w:sz="4" w:space="0" w:color="auto"/>
              <w:right w:val="nil"/>
            </w:tcBorders>
            <w:shd w:val="clear" w:color="000000" w:fill="FFFFFF"/>
            <w:vAlign w:val="center"/>
          </w:tcPr>
          <w:p w:rsidR="004351C8" w:rsidRPr="004351C8" w:rsidRDefault="004351C8" w:rsidP="004351C8">
            <w:pPr>
              <w:spacing w:after="0" w:line="240" w:lineRule="auto"/>
              <w:jc w:val="center"/>
              <w:rPr>
                <w:rFonts w:cs="Arial"/>
                <w:sz w:val="20"/>
                <w:szCs w:val="20"/>
              </w:rPr>
            </w:pPr>
            <w:r w:rsidRPr="004351C8">
              <w:rPr>
                <w:rFonts w:cs="Arial"/>
                <w:sz w:val="20"/>
                <w:szCs w:val="20"/>
              </w:rPr>
              <w:t>34000</w:t>
            </w:r>
          </w:p>
        </w:tc>
        <w:tc>
          <w:tcPr>
            <w:tcW w:w="1219" w:type="dxa"/>
            <w:tcBorders>
              <w:top w:val="nil"/>
              <w:left w:val="nil"/>
              <w:bottom w:val="single" w:sz="4" w:space="0" w:color="auto"/>
              <w:right w:val="nil"/>
            </w:tcBorders>
            <w:shd w:val="clear" w:color="000000" w:fill="FFFFFF"/>
            <w:vAlign w:val="center"/>
          </w:tcPr>
          <w:p w:rsidR="004351C8" w:rsidRPr="004351C8" w:rsidRDefault="004351C8" w:rsidP="004351C8">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2,0</w:t>
            </w:r>
          </w:p>
        </w:tc>
        <w:tc>
          <w:tcPr>
            <w:tcW w:w="1219" w:type="dxa"/>
            <w:tcBorders>
              <w:top w:val="nil"/>
              <w:left w:val="nil"/>
              <w:bottom w:val="single" w:sz="4" w:space="0" w:color="auto"/>
              <w:right w:val="nil"/>
            </w:tcBorders>
            <w:shd w:val="clear" w:color="000000" w:fill="FFFFFF"/>
            <w:vAlign w:val="center"/>
          </w:tcPr>
          <w:p w:rsidR="004351C8" w:rsidRPr="004351C8" w:rsidRDefault="004351C8" w:rsidP="004351C8">
            <w:pPr>
              <w:spacing w:after="0" w:line="240" w:lineRule="auto"/>
              <w:jc w:val="center"/>
              <w:rPr>
                <w:rFonts w:cs="Arial"/>
                <w:sz w:val="20"/>
                <w:szCs w:val="20"/>
              </w:rPr>
            </w:pPr>
            <w:r w:rsidRPr="004351C8">
              <w:rPr>
                <w:rFonts w:eastAsia="Times New Roman" w:cs="Arial"/>
                <w:color w:val="000000"/>
                <w:sz w:val="20"/>
                <w:szCs w:val="20"/>
                <w:lang w:eastAsia="pt-BR"/>
              </w:rPr>
              <w:t>20</w:t>
            </w:r>
            <w:r w:rsidR="007A7184">
              <w:rPr>
                <w:rFonts w:eastAsia="Times New Roman" w:cs="Arial"/>
                <w:color w:val="000000"/>
                <w:sz w:val="20"/>
                <w:szCs w:val="20"/>
                <w:lang w:eastAsia="pt-BR"/>
              </w:rPr>
              <w:t>,0</w:t>
            </w:r>
          </w:p>
        </w:tc>
      </w:tr>
      <w:tr w:rsidR="007A7184" w:rsidRPr="004351C8" w:rsidTr="004351C8">
        <w:trPr>
          <w:trHeight w:val="450"/>
        </w:trPr>
        <w:tc>
          <w:tcPr>
            <w:tcW w:w="1141" w:type="dxa"/>
            <w:tcBorders>
              <w:top w:val="nil"/>
              <w:left w:val="nil"/>
              <w:bottom w:val="single" w:sz="4" w:space="0" w:color="auto"/>
              <w:right w:val="nil"/>
            </w:tcBorders>
            <w:shd w:val="clear" w:color="000000" w:fill="FFFFFF"/>
            <w:noWrap/>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Água</w:t>
            </w:r>
          </w:p>
        </w:tc>
        <w:tc>
          <w:tcPr>
            <w:tcW w:w="1836" w:type="dxa"/>
            <w:tcBorders>
              <w:top w:val="nil"/>
              <w:left w:val="nil"/>
              <w:bottom w:val="single" w:sz="4" w:space="0" w:color="auto"/>
              <w:right w:val="nil"/>
            </w:tcBorders>
            <w:shd w:val="clear" w:color="000000" w:fill="FFFFFF"/>
            <w:noWrap/>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Goma Guar</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6</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50</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jc w:val="center"/>
              <w:rPr>
                <w:rFonts w:cs="Arial"/>
                <w:sz w:val="20"/>
                <w:szCs w:val="20"/>
              </w:rPr>
            </w:pPr>
            <w:r w:rsidRPr="004351C8">
              <w:rPr>
                <w:rFonts w:cs="Arial"/>
                <w:sz w:val="20"/>
                <w:szCs w:val="20"/>
              </w:rPr>
              <w:t>68000</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4,0</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jc w:val="center"/>
              <w:rPr>
                <w:rFonts w:cs="Arial"/>
                <w:sz w:val="20"/>
                <w:szCs w:val="20"/>
              </w:rPr>
            </w:pPr>
            <w:r w:rsidRPr="004351C8">
              <w:rPr>
                <w:rFonts w:eastAsia="Times New Roman" w:cs="Arial"/>
                <w:color w:val="000000"/>
                <w:sz w:val="20"/>
                <w:szCs w:val="20"/>
                <w:lang w:eastAsia="pt-BR"/>
              </w:rPr>
              <w:t>20</w:t>
            </w:r>
            <w:r>
              <w:rPr>
                <w:rFonts w:eastAsia="Times New Roman" w:cs="Arial"/>
                <w:color w:val="000000"/>
                <w:sz w:val="20"/>
                <w:szCs w:val="20"/>
                <w:lang w:eastAsia="pt-BR"/>
              </w:rPr>
              <w:t>,0</w:t>
            </w:r>
          </w:p>
        </w:tc>
      </w:tr>
      <w:tr w:rsidR="007A7184" w:rsidRPr="004351C8" w:rsidTr="004351C8">
        <w:trPr>
          <w:trHeight w:val="450"/>
        </w:trPr>
        <w:tc>
          <w:tcPr>
            <w:tcW w:w="1141" w:type="dxa"/>
            <w:tcBorders>
              <w:top w:val="nil"/>
              <w:left w:val="nil"/>
              <w:bottom w:val="single" w:sz="4" w:space="0" w:color="auto"/>
              <w:right w:val="nil"/>
            </w:tcBorders>
            <w:shd w:val="clear" w:color="000000" w:fill="FFFFFF"/>
            <w:noWrap/>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Água</w:t>
            </w:r>
          </w:p>
        </w:tc>
        <w:tc>
          <w:tcPr>
            <w:tcW w:w="1836" w:type="dxa"/>
            <w:tcBorders>
              <w:top w:val="nil"/>
              <w:left w:val="nil"/>
              <w:bottom w:val="single" w:sz="4" w:space="0" w:color="auto"/>
              <w:right w:val="nil"/>
            </w:tcBorders>
            <w:shd w:val="clear" w:color="000000" w:fill="FFFFFF"/>
            <w:noWrap/>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Goma Guar</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contextualSpacing w:val="0"/>
              <w:jc w:val="center"/>
              <w:rPr>
                <w:rFonts w:eastAsia="Times New Roman" w:cs="Arial"/>
                <w:b/>
                <w:i/>
                <w:iCs/>
                <w:color w:val="000000"/>
                <w:sz w:val="20"/>
                <w:szCs w:val="20"/>
                <w:lang w:eastAsia="pt-BR"/>
              </w:rPr>
            </w:pPr>
            <w:r w:rsidRPr="004351C8">
              <w:rPr>
                <w:rFonts w:eastAsia="Times New Roman" w:cs="Arial"/>
                <w:color w:val="000000"/>
                <w:sz w:val="20"/>
                <w:szCs w:val="20"/>
                <w:lang w:eastAsia="pt-BR"/>
              </w:rPr>
              <w:t>6</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100</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jc w:val="center"/>
              <w:rPr>
                <w:rFonts w:cs="Arial"/>
                <w:sz w:val="20"/>
                <w:szCs w:val="20"/>
              </w:rPr>
            </w:pPr>
            <w:r w:rsidRPr="004351C8">
              <w:rPr>
                <w:rFonts w:cs="Arial"/>
                <w:sz w:val="20"/>
                <w:szCs w:val="20"/>
              </w:rPr>
              <w:t>34000</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2,0</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jc w:val="center"/>
              <w:rPr>
                <w:rFonts w:cs="Arial"/>
                <w:sz w:val="20"/>
                <w:szCs w:val="20"/>
              </w:rPr>
            </w:pPr>
            <w:r w:rsidRPr="004351C8">
              <w:rPr>
                <w:rFonts w:eastAsia="Times New Roman" w:cs="Arial"/>
                <w:color w:val="000000"/>
                <w:sz w:val="20"/>
                <w:szCs w:val="20"/>
                <w:lang w:eastAsia="pt-BR"/>
              </w:rPr>
              <w:t>20</w:t>
            </w:r>
            <w:r>
              <w:rPr>
                <w:rFonts w:eastAsia="Times New Roman" w:cs="Arial"/>
                <w:color w:val="000000"/>
                <w:sz w:val="20"/>
                <w:szCs w:val="20"/>
                <w:lang w:eastAsia="pt-BR"/>
              </w:rPr>
              <w:t>,0</w:t>
            </w:r>
          </w:p>
        </w:tc>
      </w:tr>
      <w:tr w:rsidR="007A7184" w:rsidRPr="004351C8" w:rsidTr="004351C8">
        <w:trPr>
          <w:trHeight w:val="450"/>
        </w:trPr>
        <w:tc>
          <w:tcPr>
            <w:tcW w:w="1141" w:type="dxa"/>
            <w:tcBorders>
              <w:top w:val="nil"/>
              <w:left w:val="nil"/>
              <w:bottom w:val="single" w:sz="4" w:space="0" w:color="auto"/>
              <w:right w:val="nil"/>
            </w:tcBorders>
            <w:shd w:val="clear" w:color="000000" w:fill="FFFFFF"/>
            <w:noWrap/>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Água</w:t>
            </w:r>
          </w:p>
        </w:tc>
        <w:tc>
          <w:tcPr>
            <w:tcW w:w="1836" w:type="dxa"/>
            <w:tcBorders>
              <w:top w:val="nil"/>
              <w:left w:val="nil"/>
              <w:bottom w:val="single" w:sz="4" w:space="0" w:color="auto"/>
              <w:right w:val="nil"/>
            </w:tcBorders>
            <w:shd w:val="clear" w:color="000000" w:fill="FFFFFF"/>
            <w:noWrap/>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Goma Guar</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6</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100</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jc w:val="center"/>
              <w:rPr>
                <w:rFonts w:cs="Arial"/>
                <w:sz w:val="20"/>
                <w:szCs w:val="20"/>
              </w:rPr>
            </w:pPr>
            <w:r w:rsidRPr="004351C8">
              <w:rPr>
                <w:rFonts w:cs="Arial"/>
                <w:sz w:val="20"/>
                <w:szCs w:val="20"/>
              </w:rPr>
              <w:t>68000</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4,0</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jc w:val="center"/>
              <w:rPr>
                <w:rFonts w:cs="Arial"/>
                <w:sz w:val="20"/>
                <w:szCs w:val="20"/>
              </w:rPr>
            </w:pPr>
            <w:r w:rsidRPr="004351C8">
              <w:rPr>
                <w:rFonts w:eastAsia="Times New Roman" w:cs="Arial"/>
                <w:color w:val="000000"/>
                <w:sz w:val="20"/>
                <w:szCs w:val="20"/>
                <w:lang w:eastAsia="pt-BR"/>
              </w:rPr>
              <w:t>20</w:t>
            </w:r>
            <w:r>
              <w:rPr>
                <w:rFonts w:eastAsia="Times New Roman" w:cs="Arial"/>
                <w:color w:val="000000"/>
                <w:sz w:val="20"/>
                <w:szCs w:val="20"/>
                <w:lang w:eastAsia="pt-BR"/>
              </w:rPr>
              <w:t>,0</w:t>
            </w:r>
          </w:p>
        </w:tc>
      </w:tr>
      <w:tr w:rsidR="007A7184" w:rsidRPr="004351C8" w:rsidTr="004351C8">
        <w:trPr>
          <w:trHeight w:val="450"/>
        </w:trPr>
        <w:tc>
          <w:tcPr>
            <w:tcW w:w="1141" w:type="dxa"/>
            <w:tcBorders>
              <w:top w:val="nil"/>
              <w:left w:val="nil"/>
              <w:bottom w:val="single" w:sz="4" w:space="0" w:color="auto"/>
              <w:right w:val="nil"/>
            </w:tcBorders>
            <w:shd w:val="clear" w:color="000000" w:fill="FFFFFF"/>
            <w:noWrap/>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Água</w:t>
            </w:r>
          </w:p>
        </w:tc>
        <w:tc>
          <w:tcPr>
            <w:tcW w:w="1836" w:type="dxa"/>
            <w:tcBorders>
              <w:top w:val="nil"/>
              <w:left w:val="nil"/>
              <w:bottom w:val="single" w:sz="4" w:space="0" w:color="auto"/>
              <w:right w:val="nil"/>
            </w:tcBorders>
            <w:shd w:val="clear" w:color="000000" w:fill="FFFFFF"/>
            <w:noWrap/>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Goma Guar</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contextualSpacing w:val="0"/>
              <w:jc w:val="center"/>
              <w:rPr>
                <w:rFonts w:eastAsia="Times New Roman" w:cs="Arial"/>
                <w:b/>
                <w:i/>
                <w:iCs/>
                <w:color w:val="000000"/>
                <w:sz w:val="20"/>
                <w:szCs w:val="20"/>
                <w:lang w:eastAsia="pt-BR"/>
              </w:rPr>
            </w:pPr>
            <w:r w:rsidRPr="004351C8">
              <w:rPr>
                <w:rFonts w:eastAsia="Times New Roman" w:cs="Arial"/>
                <w:color w:val="000000"/>
                <w:sz w:val="20"/>
                <w:szCs w:val="20"/>
                <w:lang w:eastAsia="pt-BR"/>
              </w:rPr>
              <w:t>6</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200</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jc w:val="center"/>
              <w:rPr>
                <w:rFonts w:cs="Arial"/>
                <w:sz w:val="20"/>
                <w:szCs w:val="20"/>
              </w:rPr>
            </w:pPr>
            <w:r w:rsidRPr="004351C8">
              <w:rPr>
                <w:rFonts w:cs="Arial"/>
                <w:sz w:val="20"/>
                <w:szCs w:val="20"/>
              </w:rPr>
              <w:t>34000</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2,0</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jc w:val="center"/>
              <w:rPr>
                <w:rFonts w:cs="Arial"/>
                <w:sz w:val="20"/>
                <w:szCs w:val="20"/>
              </w:rPr>
            </w:pPr>
            <w:r w:rsidRPr="004351C8">
              <w:rPr>
                <w:rFonts w:eastAsia="Times New Roman" w:cs="Arial"/>
                <w:color w:val="000000"/>
                <w:sz w:val="20"/>
                <w:szCs w:val="20"/>
                <w:lang w:eastAsia="pt-BR"/>
              </w:rPr>
              <w:t>20</w:t>
            </w:r>
            <w:r>
              <w:rPr>
                <w:rFonts w:eastAsia="Times New Roman" w:cs="Arial"/>
                <w:color w:val="000000"/>
                <w:sz w:val="20"/>
                <w:szCs w:val="20"/>
                <w:lang w:eastAsia="pt-BR"/>
              </w:rPr>
              <w:t>,0</w:t>
            </w:r>
          </w:p>
        </w:tc>
      </w:tr>
      <w:tr w:rsidR="007A7184" w:rsidRPr="004351C8" w:rsidTr="004351C8">
        <w:trPr>
          <w:trHeight w:val="450"/>
        </w:trPr>
        <w:tc>
          <w:tcPr>
            <w:tcW w:w="1141" w:type="dxa"/>
            <w:tcBorders>
              <w:top w:val="nil"/>
              <w:left w:val="nil"/>
              <w:bottom w:val="single" w:sz="4" w:space="0" w:color="auto"/>
              <w:right w:val="nil"/>
            </w:tcBorders>
            <w:shd w:val="clear" w:color="000000" w:fill="FFFFFF"/>
            <w:noWrap/>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Água</w:t>
            </w:r>
          </w:p>
        </w:tc>
        <w:tc>
          <w:tcPr>
            <w:tcW w:w="1836" w:type="dxa"/>
            <w:tcBorders>
              <w:top w:val="nil"/>
              <w:left w:val="nil"/>
              <w:bottom w:val="single" w:sz="4" w:space="0" w:color="auto"/>
              <w:right w:val="nil"/>
            </w:tcBorders>
            <w:shd w:val="clear" w:color="000000" w:fill="FFFFFF"/>
            <w:noWrap/>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Goma Guar</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6</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200</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jc w:val="center"/>
              <w:rPr>
                <w:rFonts w:cs="Arial"/>
                <w:sz w:val="20"/>
                <w:szCs w:val="20"/>
              </w:rPr>
            </w:pPr>
            <w:r w:rsidRPr="004351C8">
              <w:rPr>
                <w:rFonts w:cs="Arial"/>
                <w:sz w:val="20"/>
                <w:szCs w:val="20"/>
              </w:rPr>
              <w:t>68000</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4,0</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jc w:val="center"/>
              <w:rPr>
                <w:rFonts w:cs="Arial"/>
                <w:sz w:val="20"/>
                <w:szCs w:val="20"/>
              </w:rPr>
            </w:pPr>
            <w:r w:rsidRPr="004351C8">
              <w:rPr>
                <w:rFonts w:eastAsia="Times New Roman" w:cs="Arial"/>
                <w:color w:val="000000"/>
                <w:sz w:val="20"/>
                <w:szCs w:val="20"/>
                <w:lang w:eastAsia="pt-BR"/>
              </w:rPr>
              <w:t>20</w:t>
            </w:r>
            <w:r>
              <w:rPr>
                <w:rFonts w:eastAsia="Times New Roman" w:cs="Arial"/>
                <w:color w:val="000000"/>
                <w:sz w:val="20"/>
                <w:szCs w:val="20"/>
                <w:lang w:eastAsia="pt-BR"/>
              </w:rPr>
              <w:t>,0</w:t>
            </w:r>
          </w:p>
        </w:tc>
      </w:tr>
      <w:tr w:rsidR="007A7184" w:rsidRPr="004351C8" w:rsidTr="004351C8">
        <w:trPr>
          <w:trHeight w:val="450"/>
        </w:trPr>
        <w:tc>
          <w:tcPr>
            <w:tcW w:w="1141" w:type="dxa"/>
            <w:tcBorders>
              <w:top w:val="nil"/>
              <w:left w:val="nil"/>
              <w:bottom w:val="single" w:sz="4" w:space="0" w:color="auto"/>
              <w:right w:val="nil"/>
            </w:tcBorders>
            <w:shd w:val="clear" w:color="000000" w:fill="FFFFFF"/>
            <w:noWrap/>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Água</w:t>
            </w:r>
          </w:p>
        </w:tc>
        <w:tc>
          <w:tcPr>
            <w:tcW w:w="1836" w:type="dxa"/>
            <w:tcBorders>
              <w:top w:val="nil"/>
              <w:left w:val="nil"/>
              <w:bottom w:val="single" w:sz="4" w:space="0" w:color="auto"/>
              <w:right w:val="nil"/>
            </w:tcBorders>
            <w:shd w:val="clear" w:color="000000" w:fill="FFFFFF"/>
            <w:noWrap/>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PEO</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contextualSpacing w:val="0"/>
              <w:jc w:val="center"/>
              <w:rPr>
                <w:rFonts w:eastAsia="Times New Roman" w:cs="Arial"/>
                <w:b/>
                <w:i/>
                <w:iCs/>
                <w:color w:val="000000"/>
                <w:sz w:val="20"/>
                <w:szCs w:val="20"/>
                <w:lang w:eastAsia="pt-BR"/>
              </w:rPr>
            </w:pPr>
            <w:r w:rsidRPr="004351C8">
              <w:rPr>
                <w:rFonts w:eastAsia="Times New Roman" w:cs="Arial"/>
                <w:color w:val="000000"/>
                <w:sz w:val="20"/>
                <w:szCs w:val="20"/>
                <w:lang w:eastAsia="pt-BR"/>
              </w:rPr>
              <w:t>6</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50</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jc w:val="center"/>
              <w:rPr>
                <w:rFonts w:cs="Arial"/>
                <w:sz w:val="20"/>
                <w:szCs w:val="20"/>
              </w:rPr>
            </w:pPr>
            <w:r w:rsidRPr="004351C8">
              <w:rPr>
                <w:rFonts w:cs="Arial"/>
                <w:sz w:val="20"/>
                <w:szCs w:val="20"/>
              </w:rPr>
              <w:t>34000</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2,0</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jc w:val="center"/>
              <w:rPr>
                <w:rFonts w:cs="Arial"/>
                <w:sz w:val="20"/>
                <w:szCs w:val="20"/>
              </w:rPr>
            </w:pPr>
            <w:r w:rsidRPr="004351C8">
              <w:rPr>
                <w:rFonts w:eastAsia="Times New Roman" w:cs="Arial"/>
                <w:color w:val="000000"/>
                <w:sz w:val="20"/>
                <w:szCs w:val="20"/>
                <w:lang w:eastAsia="pt-BR"/>
              </w:rPr>
              <w:t>20</w:t>
            </w:r>
            <w:r>
              <w:rPr>
                <w:rFonts w:eastAsia="Times New Roman" w:cs="Arial"/>
                <w:color w:val="000000"/>
                <w:sz w:val="20"/>
                <w:szCs w:val="20"/>
                <w:lang w:eastAsia="pt-BR"/>
              </w:rPr>
              <w:t>,0</w:t>
            </w:r>
          </w:p>
        </w:tc>
      </w:tr>
      <w:tr w:rsidR="007A7184" w:rsidRPr="004351C8" w:rsidTr="004351C8">
        <w:trPr>
          <w:trHeight w:val="450"/>
        </w:trPr>
        <w:tc>
          <w:tcPr>
            <w:tcW w:w="1141" w:type="dxa"/>
            <w:tcBorders>
              <w:top w:val="nil"/>
              <w:left w:val="nil"/>
              <w:bottom w:val="single" w:sz="4" w:space="0" w:color="auto"/>
              <w:right w:val="nil"/>
            </w:tcBorders>
            <w:shd w:val="clear" w:color="000000" w:fill="FFFFFF"/>
            <w:noWrap/>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Água</w:t>
            </w:r>
          </w:p>
        </w:tc>
        <w:tc>
          <w:tcPr>
            <w:tcW w:w="1836" w:type="dxa"/>
            <w:tcBorders>
              <w:top w:val="nil"/>
              <w:left w:val="nil"/>
              <w:bottom w:val="single" w:sz="4" w:space="0" w:color="auto"/>
              <w:right w:val="nil"/>
            </w:tcBorders>
            <w:shd w:val="clear" w:color="000000" w:fill="FFFFFF"/>
            <w:noWrap/>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PEO</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6</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50</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jc w:val="center"/>
              <w:rPr>
                <w:rFonts w:cs="Arial"/>
                <w:sz w:val="20"/>
                <w:szCs w:val="20"/>
              </w:rPr>
            </w:pPr>
            <w:r w:rsidRPr="004351C8">
              <w:rPr>
                <w:rFonts w:cs="Arial"/>
                <w:sz w:val="20"/>
                <w:szCs w:val="20"/>
              </w:rPr>
              <w:t>68000</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4,0</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jc w:val="center"/>
              <w:rPr>
                <w:rFonts w:cs="Arial"/>
                <w:sz w:val="20"/>
                <w:szCs w:val="20"/>
              </w:rPr>
            </w:pPr>
            <w:r w:rsidRPr="004351C8">
              <w:rPr>
                <w:rFonts w:eastAsia="Times New Roman" w:cs="Arial"/>
                <w:color w:val="000000"/>
                <w:sz w:val="20"/>
                <w:szCs w:val="20"/>
                <w:lang w:eastAsia="pt-BR"/>
              </w:rPr>
              <w:t>20</w:t>
            </w:r>
            <w:r>
              <w:rPr>
                <w:rFonts w:eastAsia="Times New Roman" w:cs="Arial"/>
                <w:color w:val="000000"/>
                <w:sz w:val="20"/>
                <w:szCs w:val="20"/>
                <w:lang w:eastAsia="pt-BR"/>
              </w:rPr>
              <w:t>,0</w:t>
            </w:r>
          </w:p>
        </w:tc>
      </w:tr>
      <w:tr w:rsidR="007A7184" w:rsidRPr="004351C8" w:rsidTr="004351C8">
        <w:trPr>
          <w:trHeight w:val="450"/>
        </w:trPr>
        <w:tc>
          <w:tcPr>
            <w:tcW w:w="1141" w:type="dxa"/>
            <w:tcBorders>
              <w:top w:val="nil"/>
              <w:left w:val="nil"/>
              <w:bottom w:val="single" w:sz="4" w:space="0" w:color="auto"/>
              <w:right w:val="nil"/>
            </w:tcBorders>
            <w:shd w:val="clear" w:color="000000" w:fill="FFFFFF"/>
            <w:noWrap/>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Água</w:t>
            </w:r>
          </w:p>
        </w:tc>
        <w:tc>
          <w:tcPr>
            <w:tcW w:w="1836" w:type="dxa"/>
            <w:tcBorders>
              <w:top w:val="nil"/>
              <w:left w:val="nil"/>
              <w:bottom w:val="single" w:sz="4" w:space="0" w:color="auto"/>
              <w:right w:val="nil"/>
            </w:tcBorders>
            <w:shd w:val="clear" w:color="000000" w:fill="FFFFFF"/>
            <w:noWrap/>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PEO</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contextualSpacing w:val="0"/>
              <w:jc w:val="center"/>
              <w:rPr>
                <w:rFonts w:eastAsia="Times New Roman" w:cs="Arial"/>
                <w:b/>
                <w:i/>
                <w:iCs/>
                <w:color w:val="000000"/>
                <w:sz w:val="20"/>
                <w:szCs w:val="20"/>
                <w:lang w:eastAsia="pt-BR"/>
              </w:rPr>
            </w:pPr>
            <w:r w:rsidRPr="004351C8">
              <w:rPr>
                <w:rFonts w:eastAsia="Times New Roman" w:cs="Arial"/>
                <w:color w:val="000000"/>
                <w:sz w:val="20"/>
                <w:szCs w:val="20"/>
                <w:lang w:eastAsia="pt-BR"/>
              </w:rPr>
              <w:t>6</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100</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jc w:val="center"/>
              <w:rPr>
                <w:rFonts w:cs="Arial"/>
                <w:sz w:val="20"/>
                <w:szCs w:val="20"/>
              </w:rPr>
            </w:pPr>
            <w:r w:rsidRPr="004351C8">
              <w:rPr>
                <w:rFonts w:cs="Arial"/>
                <w:sz w:val="20"/>
                <w:szCs w:val="20"/>
              </w:rPr>
              <w:t>34000</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2,0</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jc w:val="center"/>
              <w:rPr>
                <w:rFonts w:cs="Arial"/>
                <w:sz w:val="20"/>
                <w:szCs w:val="20"/>
              </w:rPr>
            </w:pPr>
            <w:r w:rsidRPr="004351C8">
              <w:rPr>
                <w:rFonts w:eastAsia="Times New Roman" w:cs="Arial"/>
                <w:color w:val="000000"/>
                <w:sz w:val="20"/>
                <w:szCs w:val="20"/>
                <w:lang w:eastAsia="pt-BR"/>
              </w:rPr>
              <w:t>20</w:t>
            </w:r>
            <w:r>
              <w:rPr>
                <w:rFonts w:eastAsia="Times New Roman" w:cs="Arial"/>
                <w:color w:val="000000"/>
                <w:sz w:val="20"/>
                <w:szCs w:val="20"/>
                <w:lang w:eastAsia="pt-BR"/>
              </w:rPr>
              <w:t>,0</w:t>
            </w:r>
          </w:p>
        </w:tc>
      </w:tr>
      <w:tr w:rsidR="007A7184" w:rsidRPr="004351C8" w:rsidTr="004351C8">
        <w:trPr>
          <w:trHeight w:val="450"/>
        </w:trPr>
        <w:tc>
          <w:tcPr>
            <w:tcW w:w="1141" w:type="dxa"/>
            <w:tcBorders>
              <w:top w:val="nil"/>
              <w:left w:val="nil"/>
              <w:bottom w:val="single" w:sz="4" w:space="0" w:color="auto"/>
              <w:right w:val="nil"/>
            </w:tcBorders>
            <w:shd w:val="clear" w:color="000000" w:fill="FFFFFF"/>
            <w:noWrap/>
            <w:vAlign w:val="center"/>
            <w:hideMark/>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Água</w:t>
            </w:r>
          </w:p>
        </w:tc>
        <w:tc>
          <w:tcPr>
            <w:tcW w:w="1836" w:type="dxa"/>
            <w:tcBorders>
              <w:top w:val="nil"/>
              <w:left w:val="nil"/>
              <w:bottom w:val="single" w:sz="4" w:space="0" w:color="auto"/>
              <w:right w:val="nil"/>
            </w:tcBorders>
            <w:shd w:val="clear" w:color="000000" w:fill="FFFFFF"/>
            <w:noWrap/>
            <w:vAlign w:val="center"/>
            <w:hideMark/>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PEO</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6</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100</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jc w:val="center"/>
              <w:rPr>
                <w:rFonts w:cs="Arial"/>
                <w:sz w:val="20"/>
                <w:szCs w:val="20"/>
              </w:rPr>
            </w:pPr>
            <w:r w:rsidRPr="004351C8">
              <w:rPr>
                <w:rFonts w:cs="Arial"/>
                <w:sz w:val="20"/>
                <w:szCs w:val="20"/>
              </w:rPr>
              <w:t>68000</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4,0</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jc w:val="center"/>
              <w:rPr>
                <w:rFonts w:cs="Arial"/>
                <w:sz w:val="20"/>
                <w:szCs w:val="20"/>
              </w:rPr>
            </w:pPr>
            <w:r w:rsidRPr="004351C8">
              <w:rPr>
                <w:rFonts w:eastAsia="Times New Roman" w:cs="Arial"/>
                <w:color w:val="000000"/>
                <w:sz w:val="20"/>
                <w:szCs w:val="20"/>
                <w:lang w:eastAsia="pt-BR"/>
              </w:rPr>
              <w:t>20</w:t>
            </w:r>
            <w:r>
              <w:rPr>
                <w:rFonts w:eastAsia="Times New Roman" w:cs="Arial"/>
                <w:color w:val="000000"/>
                <w:sz w:val="20"/>
                <w:szCs w:val="20"/>
                <w:lang w:eastAsia="pt-BR"/>
              </w:rPr>
              <w:t>,0</w:t>
            </w:r>
          </w:p>
        </w:tc>
      </w:tr>
      <w:tr w:rsidR="007A7184" w:rsidRPr="004351C8" w:rsidTr="004351C8">
        <w:trPr>
          <w:trHeight w:val="450"/>
        </w:trPr>
        <w:tc>
          <w:tcPr>
            <w:tcW w:w="1141" w:type="dxa"/>
            <w:tcBorders>
              <w:top w:val="nil"/>
              <w:left w:val="nil"/>
              <w:bottom w:val="single" w:sz="4" w:space="0" w:color="auto"/>
              <w:right w:val="nil"/>
            </w:tcBorders>
            <w:shd w:val="clear" w:color="000000" w:fill="FFFFFF"/>
            <w:noWrap/>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Água</w:t>
            </w:r>
          </w:p>
        </w:tc>
        <w:tc>
          <w:tcPr>
            <w:tcW w:w="1836" w:type="dxa"/>
            <w:tcBorders>
              <w:top w:val="nil"/>
              <w:left w:val="nil"/>
              <w:bottom w:val="single" w:sz="4" w:space="0" w:color="auto"/>
              <w:right w:val="nil"/>
            </w:tcBorders>
            <w:shd w:val="clear" w:color="000000" w:fill="FFFFFF"/>
            <w:noWrap/>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PEO</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contextualSpacing w:val="0"/>
              <w:jc w:val="center"/>
              <w:rPr>
                <w:rFonts w:eastAsia="Times New Roman" w:cs="Arial"/>
                <w:b/>
                <w:i/>
                <w:iCs/>
                <w:color w:val="000000"/>
                <w:sz w:val="20"/>
                <w:szCs w:val="20"/>
                <w:lang w:eastAsia="pt-BR"/>
              </w:rPr>
            </w:pPr>
            <w:r w:rsidRPr="004351C8">
              <w:rPr>
                <w:rFonts w:eastAsia="Times New Roman" w:cs="Arial"/>
                <w:color w:val="000000"/>
                <w:sz w:val="20"/>
                <w:szCs w:val="20"/>
                <w:lang w:eastAsia="pt-BR"/>
              </w:rPr>
              <w:t>6</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200</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jc w:val="center"/>
              <w:rPr>
                <w:rFonts w:cs="Arial"/>
                <w:sz w:val="20"/>
                <w:szCs w:val="20"/>
              </w:rPr>
            </w:pPr>
            <w:r w:rsidRPr="004351C8">
              <w:rPr>
                <w:rFonts w:cs="Arial"/>
                <w:sz w:val="20"/>
                <w:szCs w:val="20"/>
              </w:rPr>
              <w:t>34000</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2,0</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jc w:val="center"/>
              <w:rPr>
                <w:rFonts w:cs="Arial"/>
                <w:sz w:val="20"/>
                <w:szCs w:val="20"/>
              </w:rPr>
            </w:pPr>
            <w:r w:rsidRPr="004351C8">
              <w:rPr>
                <w:rFonts w:eastAsia="Times New Roman" w:cs="Arial"/>
                <w:color w:val="000000"/>
                <w:sz w:val="20"/>
                <w:szCs w:val="20"/>
                <w:lang w:eastAsia="pt-BR"/>
              </w:rPr>
              <w:t>20</w:t>
            </w:r>
            <w:r>
              <w:rPr>
                <w:rFonts w:eastAsia="Times New Roman" w:cs="Arial"/>
                <w:color w:val="000000"/>
                <w:sz w:val="20"/>
                <w:szCs w:val="20"/>
                <w:lang w:eastAsia="pt-BR"/>
              </w:rPr>
              <w:t>,0</w:t>
            </w:r>
          </w:p>
        </w:tc>
      </w:tr>
      <w:tr w:rsidR="007A7184" w:rsidRPr="004351C8" w:rsidTr="004351C8">
        <w:trPr>
          <w:trHeight w:val="450"/>
        </w:trPr>
        <w:tc>
          <w:tcPr>
            <w:tcW w:w="1141" w:type="dxa"/>
            <w:tcBorders>
              <w:top w:val="nil"/>
              <w:left w:val="nil"/>
              <w:bottom w:val="single" w:sz="4" w:space="0" w:color="auto"/>
              <w:right w:val="nil"/>
            </w:tcBorders>
            <w:shd w:val="clear" w:color="000000" w:fill="FFFFFF"/>
            <w:noWrap/>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Água</w:t>
            </w:r>
          </w:p>
        </w:tc>
        <w:tc>
          <w:tcPr>
            <w:tcW w:w="1836" w:type="dxa"/>
            <w:tcBorders>
              <w:top w:val="nil"/>
              <w:left w:val="nil"/>
              <w:bottom w:val="single" w:sz="4" w:space="0" w:color="auto"/>
              <w:right w:val="nil"/>
            </w:tcBorders>
            <w:shd w:val="clear" w:color="000000" w:fill="FFFFFF"/>
            <w:noWrap/>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PEO</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6</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200</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jc w:val="center"/>
              <w:rPr>
                <w:rFonts w:cs="Arial"/>
                <w:sz w:val="20"/>
                <w:szCs w:val="20"/>
              </w:rPr>
            </w:pPr>
            <w:r w:rsidRPr="004351C8">
              <w:rPr>
                <w:rFonts w:cs="Arial"/>
                <w:sz w:val="20"/>
                <w:szCs w:val="20"/>
              </w:rPr>
              <w:t>68000</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4,0</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jc w:val="center"/>
              <w:rPr>
                <w:rFonts w:cs="Arial"/>
                <w:sz w:val="20"/>
                <w:szCs w:val="20"/>
              </w:rPr>
            </w:pPr>
            <w:r w:rsidRPr="004351C8">
              <w:rPr>
                <w:rFonts w:eastAsia="Times New Roman" w:cs="Arial"/>
                <w:color w:val="000000"/>
                <w:sz w:val="20"/>
                <w:szCs w:val="20"/>
                <w:lang w:eastAsia="pt-BR"/>
              </w:rPr>
              <w:t>20</w:t>
            </w:r>
            <w:r>
              <w:rPr>
                <w:rFonts w:eastAsia="Times New Roman" w:cs="Arial"/>
                <w:color w:val="000000"/>
                <w:sz w:val="20"/>
                <w:szCs w:val="20"/>
                <w:lang w:eastAsia="pt-BR"/>
              </w:rPr>
              <w:t>,0</w:t>
            </w:r>
          </w:p>
        </w:tc>
      </w:tr>
      <w:tr w:rsidR="007A7184" w:rsidRPr="004351C8" w:rsidTr="004351C8">
        <w:trPr>
          <w:trHeight w:val="450"/>
        </w:trPr>
        <w:tc>
          <w:tcPr>
            <w:tcW w:w="1141" w:type="dxa"/>
            <w:tcBorders>
              <w:top w:val="nil"/>
              <w:left w:val="nil"/>
              <w:bottom w:val="single" w:sz="4" w:space="0" w:color="auto"/>
              <w:right w:val="nil"/>
            </w:tcBorders>
            <w:shd w:val="clear" w:color="000000" w:fill="FFFFFF"/>
            <w:noWrap/>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Água</w:t>
            </w:r>
          </w:p>
        </w:tc>
        <w:tc>
          <w:tcPr>
            <w:tcW w:w="1836" w:type="dxa"/>
            <w:tcBorders>
              <w:top w:val="nil"/>
              <w:left w:val="nil"/>
              <w:bottom w:val="single" w:sz="4" w:space="0" w:color="auto"/>
              <w:right w:val="nil"/>
            </w:tcBorders>
            <w:shd w:val="clear" w:color="000000" w:fill="FFFFFF"/>
            <w:noWrap/>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Goma Guar + PEO</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contextualSpacing w:val="0"/>
              <w:jc w:val="center"/>
              <w:rPr>
                <w:rFonts w:eastAsia="Times New Roman" w:cs="Arial"/>
                <w:b/>
                <w:i/>
                <w:iCs/>
                <w:color w:val="000000"/>
                <w:sz w:val="20"/>
                <w:szCs w:val="20"/>
                <w:lang w:eastAsia="pt-BR"/>
              </w:rPr>
            </w:pPr>
            <w:r w:rsidRPr="004351C8">
              <w:rPr>
                <w:rFonts w:eastAsia="Times New Roman" w:cs="Arial"/>
                <w:color w:val="000000"/>
                <w:sz w:val="20"/>
                <w:szCs w:val="20"/>
                <w:lang w:eastAsia="pt-BR"/>
              </w:rPr>
              <w:t>6</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100</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jc w:val="center"/>
              <w:rPr>
                <w:rFonts w:cs="Arial"/>
                <w:sz w:val="20"/>
                <w:szCs w:val="20"/>
              </w:rPr>
            </w:pPr>
            <w:r w:rsidRPr="004351C8">
              <w:rPr>
                <w:rFonts w:cs="Arial"/>
                <w:sz w:val="20"/>
                <w:szCs w:val="20"/>
              </w:rPr>
              <w:t>34000</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2,0</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jc w:val="center"/>
              <w:rPr>
                <w:rFonts w:cs="Arial"/>
                <w:sz w:val="20"/>
                <w:szCs w:val="20"/>
              </w:rPr>
            </w:pPr>
            <w:r w:rsidRPr="004351C8">
              <w:rPr>
                <w:rFonts w:eastAsia="Times New Roman" w:cs="Arial"/>
                <w:color w:val="000000"/>
                <w:sz w:val="20"/>
                <w:szCs w:val="20"/>
                <w:lang w:eastAsia="pt-BR"/>
              </w:rPr>
              <w:t>20</w:t>
            </w:r>
            <w:r>
              <w:rPr>
                <w:rFonts w:eastAsia="Times New Roman" w:cs="Arial"/>
                <w:color w:val="000000"/>
                <w:sz w:val="20"/>
                <w:szCs w:val="20"/>
                <w:lang w:eastAsia="pt-BR"/>
              </w:rPr>
              <w:t>,0</w:t>
            </w:r>
          </w:p>
        </w:tc>
      </w:tr>
      <w:tr w:rsidR="007A7184" w:rsidRPr="004351C8" w:rsidTr="004351C8">
        <w:trPr>
          <w:trHeight w:val="450"/>
        </w:trPr>
        <w:tc>
          <w:tcPr>
            <w:tcW w:w="1141" w:type="dxa"/>
            <w:tcBorders>
              <w:top w:val="nil"/>
              <w:left w:val="nil"/>
              <w:bottom w:val="single" w:sz="4" w:space="0" w:color="auto"/>
              <w:right w:val="nil"/>
            </w:tcBorders>
            <w:shd w:val="clear" w:color="000000" w:fill="FFFFFF"/>
            <w:noWrap/>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Água</w:t>
            </w:r>
          </w:p>
        </w:tc>
        <w:tc>
          <w:tcPr>
            <w:tcW w:w="1836" w:type="dxa"/>
            <w:tcBorders>
              <w:top w:val="nil"/>
              <w:left w:val="nil"/>
              <w:bottom w:val="single" w:sz="4" w:space="0" w:color="auto"/>
              <w:right w:val="nil"/>
            </w:tcBorders>
            <w:shd w:val="clear" w:color="000000" w:fill="FFFFFF"/>
            <w:noWrap/>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Goma Guar + PEO</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6</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100</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jc w:val="center"/>
              <w:rPr>
                <w:rFonts w:cs="Arial"/>
                <w:sz w:val="20"/>
                <w:szCs w:val="20"/>
              </w:rPr>
            </w:pPr>
            <w:r w:rsidRPr="004351C8">
              <w:rPr>
                <w:rFonts w:cs="Arial"/>
                <w:sz w:val="20"/>
                <w:szCs w:val="20"/>
              </w:rPr>
              <w:t>68000</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4,0</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jc w:val="center"/>
              <w:rPr>
                <w:rFonts w:cs="Arial"/>
                <w:sz w:val="20"/>
                <w:szCs w:val="20"/>
              </w:rPr>
            </w:pPr>
            <w:r w:rsidRPr="004351C8">
              <w:rPr>
                <w:rFonts w:eastAsia="Times New Roman" w:cs="Arial"/>
                <w:color w:val="000000"/>
                <w:sz w:val="20"/>
                <w:szCs w:val="20"/>
                <w:lang w:eastAsia="pt-BR"/>
              </w:rPr>
              <w:t>20</w:t>
            </w:r>
            <w:r>
              <w:rPr>
                <w:rFonts w:eastAsia="Times New Roman" w:cs="Arial"/>
                <w:color w:val="000000"/>
                <w:sz w:val="20"/>
                <w:szCs w:val="20"/>
                <w:lang w:eastAsia="pt-BR"/>
              </w:rPr>
              <w:t>,0</w:t>
            </w:r>
          </w:p>
        </w:tc>
      </w:tr>
      <w:tr w:rsidR="007A7184" w:rsidRPr="004351C8" w:rsidTr="004351C8">
        <w:trPr>
          <w:trHeight w:val="450"/>
        </w:trPr>
        <w:tc>
          <w:tcPr>
            <w:tcW w:w="1141" w:type="dxa"/>
            <w:tcBorders>
              <w:top w:val="nil"/>
              <w:left w:val="nil"/>
              <w:bottom w:val="single" w:sz="4" w:space="0" w:color="auto"/>
              <w:right w:val="nil"/>
            </w:tcBorders>
            <w:shd w:val="clear" w:color="000000" w:fill="FFFFFF"/>
            <w:noWrap/>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Água</w:t>
            </w:r>
          </w:p>
        </w:tc>
        <w:tc>
          <w:tcPr>
            <w:tcW w:w="1836" w:type="dxa"/>
            <w:tcBorders>
              <w:top w:val="nil"/>
              <w:left w:val="nil"/>
              <w:bottom w:val="single" w:sz="4" w:space="0" w:color="auto"/>
              <w:right w:val="nil"/>
            </w:tcBorders>
            <w:shd w:val="clear" w:color="000000" w:fill="FFFFFF"/>
            <w:noWrap/>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Goma Guar + PEO</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contextualSpacing w:val="0"/>
              <w:jc w:val="center"/>
              <w:rPr>
                <w:rFonts w:eastAsia="Times New Roman" w:cs="Arial"/>
                <w:b/>
                <w:i/>
                <w:iCs/>
                <w:color w:val="000000"/>
                <w:sz w:val="20"/>
                <w:szCs w:val="20"/>
                <w:lang w:eastAsia="pt-BR"/>
              </w:rPr>
            </w:pPr>
            <w:r w:rsidRPr="004351C8">
              <w:rPr>
                <w:rFonts w:eastAsia="Times New Roman" w:cs="Arial"/>
                <w:color w:val="000000"/>
                <w:sz w:val="20"/>
                <w:szCs w:val="20"/>
                <w:lang w:eastAsia="pt-BR"/>
              </w:rPr>
              <w:t>6</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200</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jc w:val="center"/>
              <w:rPr>
                <w:rFonts w:cs="Arial"/>
                <w:sz w:val="20"/>
                <w:szCs w:val="20"/>
              </w:rPr>
            </w:pPr>
            <w:r w:rsidRPr="004351C8">
              <w:rPr>
                <w:rFonts w:cs="Arial"/>
                <w:sz w:val="20"/>
                <w:szCs w:val="20"/>
              </w:rPr>
              <w:t>34000</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2,0</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jc w:val="center"/>
              <w:rPr>
                <w:rFonts w:cs="Arial"/>
                <w:sz w:val="20"/>
                <w:szCs w:val="20"/>
              </w:rPr>
            </w:pPr>
            <w:r w:rsidRPr="004351C8">
              <w:rPr>
                <w:rFonts w:eastAsia="Times New Roman" w:cs="Arial"/>
                <w:color w:val="000000"/>
                <w:sz w:val="20"/>
                <w:szCs w:val="20"/>
                <w:lang w:eastAsia="pt-BR"/>
              </w:rPr>
              <w:t>20</w:t>
            </w:r>
            <w:r>
              <w:rPr>
                <w:rFonts w:eastAsia="Times New Roman" w:cs="Arial"/>
                <w:color w:val="000000"/>
                <w:sz w:val="20"/>
                <w:szCs w:val="20"/>
                <w:lang w:eastAsia="pt-BR"/>
              </w:rPr>
              <w:t>,0</w:t>
            </w:r>
          </w:p>
        </w:tc>
      </w:tr>
      <w:tr w:rsidR="007A7184" w:rsidRPr="004351C8" w:rsidTr="004351C8">
        <w:trPr>
          <w:trHeight w:val="450"/>
        </w:trPr>
        <w:tc>
          <w:tcPr>
            <w:tcW w:w="1141" w:type="dxa"/>
            <w:tcBorders>
              <w:top w:val="nil"/>
              <w:left w:val="nil"/>
              <w:bottom w:val="single" w:sz="4" w:space="0" w:color="auto"/>
              <w:right w:val="nil"/>
            </w:tcBorders>
            <w:shd w:val="clear" w:color="000000" w:fill="FFFFFF"/>
            <w:noWrap/>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Água</w:t>
            </w:r>
          </w:p>
        </w:tc>
        <w:tc>
          <w:tcPr>
            <w:tcW w:w="1836" w:type="dxa"/>
            <w:tcBorders>
              <w:top w:val="nil"/>
              <w:left w:val="nil"/>
              <w:bottom w:val="single" w:sz="4" w:space="0" w:color="auto"/>
              <w:right w:val="nil"/>
            </w:tcBorders>
            <w:shd w:val="clear" w:color="000000" w:fill="FFFFFF"/>
            <w:noWrap/>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Goma Guar + PEO</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6</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200</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jc w:val="center"/>
              <w:rPr>
                <w:rFonts w:cs="Arial"/>
                <w:sz w:val="20"/>
                <w:szCs w:val="20"/>
              </w:rPr>
            </w:pPr>
            <w:r w:rsidRPr="004351C8">
              <w:rPr>
                <w:rFonts w:cs="Arial"/>
                <w:sz w:val="20"/>
                <w:szCs w:val="20"/>
              </w:rPr>
              <w:t>68000</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contextualSpacing w:val="0"/>
              <w:jc w:val="center"/>
              <w:rPr>
                <w:rFonts w:eastAsia="Times New Roman" w:cs="Arial"/>
                <w:color w:val="000000"/>
                <w:sz w:val="20"/>
                <w:szCs w:val="20"/>
                <w:lang w:eastAsia="pt-BR"/>
              </w:rPr>
            </w:pPr>
            <w:r w:rsidRPr="004351C8">
              <w:rPr>
                <w:rFonts w:eastAsia="Times New Roman" w:cs="Arial"/>
                <w:color w:val="000000"/>
                <w:sz w:val="20"/>
                <w:szCs w:val="20"/>
                <w:lang w:eastAsia="pt-BR"/>
              </w:rPr>
              <w:t>4,0</w:t>
            </w:r>
          </w:p>
        </w:tc>
        <w:tc>
          <w:tcPr>
            <w:tcW w:w="1219" w:type="dxa"/>
            <w:tcBorders>
              <w:top w:val="nil"/>
              <w:left w:val="nil"/>
              <w:bottom w:val="single" w:sz="4" w:space="0" w:color="auto"/>
              <w:right w:val="nil"/>
            </w:tcBorders>
            <w:shd w:val="clear" w:color="000000" w:fill="FFFFFF"/>
            <w:vAlign w:val="center"/>
          </w:tcPr>
          <w:p w:rsidR="007A7184" w:rsidRPr="004351C8" w:rsidRDefault="007A7184" w:rsidP="007A7184">
            <w:pPr>
              <w:spacing w:after="0" w:line="240" w:lineRule="auto"/>
              <w:jc w:val="center"/>
              <w:rPr>
                <w:rFonts w:cs="Arial"/>
                <w:sz w:val="20"/>
                <w:szCs w:val="20"/>
              </w:rPr>
            </w:pPr>
            <w:r w:rsidRPr="004351C8">
              <w:rPr>
                <w:rFonts w:eastAsia="Times New Roman" w:cs="Arial"/>
                <w:color w:val="000000"/>
                <w:sz w:val="20"/>
                <w:szCs w:val="20"/>
                <w:lang w:eastAsia="pt-BR"/>
              </w:rPr>
              <w:t>20</w:t>
            </w:r>
            <w:r>
              <w:rPr>
                <w:rFonts w:eastAsia="Times New Roman" w:cs="Arial"/>
                <w:color w:val="000000"/>
                <w:sz w:val="20"/>
                <w:szCs w:val="20"/>
                <w:lang w:eastAsia="pt-BR"/>
              </w:rPr>
              <w:t>,0</w:t>
            </w:r>
          </w:p>
        </w:tc>
      </w:tr>
    </w:tbl>
    <w:p w:rsidR="00F30DA0" w:rsidRDefault="00F30DA0" w:rsidP="00F30DA0">
      <w:pPr>
        <w:jc w:val="center"/>
      </w:pPr>
      <w:r>
        <w:t>Fonte: Autoria própria.</w:t>
      </w:r>
    </w:p>
    <w:p w:rsidR="008C6988" w:rsidRDefault="008C6988" w:rsidP="00F30DA0">
      <w:pPr>
        <w:jc w:val="center"/>
      </w:pPr>
    </w:p>
    <w:p w:rsidR="002E1D06" w:rsidRPr="00295AC9" w:rsidRDefault="002E1D06" w:rsidP="002E1D06">
      <w:pPr>
        <w:pStyle w:val="Nvel1-PG"/>
      </w:pPr>
      <w:bookmarkStart w:id="119" w:name="_Toc488678370"/>
      <w:r w:rsidRPr="00295AC9">
        <w:lastRenderedPageBreak/>
        <w:t>4.1 Validação da Bancada</w:t>
      </w:r>
      <w:bookmarkEnd w:id="119"/>
    </w:p>
    <w:p w:rsidR="009777E4" w:rsidRDefault="007961EC" w:rsidP="00A16BA1">
      <w:r>
        <w:t xml:space="preserve">Para a validação da bancada, foram realizados </w:t>
      </w:r>
      <w:r w:rsidR="002E1D06">
        <w:t>ensaio</w:t>
      </w:r>
      <w:r>
        <w:t>s</w:t>
      </w:r>
      <w:r w:rsidR="002E1D06">
        <w:t xml:space="preserve"> </w:t>
      </w:r>
      <w:r>
        <w:t>utilizando o solvente como fluido n</w:t>
      </w:r>
      <w:r w:rsidR="008D1BA6">
        <w:t>o</w:t>
      </w:r>
      <w:r>
        <w:t xml:space="preserve">s </w:t>
      </w:r>
      <w:r w:rsidR="008D1BA6">
        <w:t xml:space="preserve">números de </w:t>
      </w:r>
      <m:oMath>
        <m:r>
          <w:rPr>
            <w:rFonts w:ascii="Cambria Math" w:hAnsi="Cambria Math"/>
          </w:rPr>
          <m:t>Re</m:t>
        </m:r>
      </m:oMath>
      <w:r w:rsidR="008D1BA6">
        <w:rPr>
          <w:rFonts w:eastAsiaTheme="minorEastAsia"/>
        </w:rPr>
        <w:t xml:space="preserve"> </w:t>
      </w:r>
      <w:r w:rsidR="008D1BA6">
        <w:t>escolhidos</w:t>
      </w:r>
      <w:r>
        <w:t xml:space="preserve"> </w:t>
      </w:r>
      <m:oMath>
        <m:r>
          <w:rPr>
            <w:rFonts w:ascii="Cambria Math" w:hAnsi="Cambria Math"/>
          </w:rPr>
          <m:t>(34000 e 68000)</m:t>
        </m:r>
      </m:oMath>
      <w:r w:rsidR="002E1D06">
        <w:t>.</w:t>
      </w:r>
      <w:r>
        <w:t xml:space="preserve"> O</w:t>
      </w:r>
      <w:r w:rsidR="002E1D06" w:rsidRPr="002E1D06">
        <w:t xml:space="preserve"> fator de atrito experimental </w:t>
      </w:r>
      <w:r w:rsidR="009777E4">
        <w:t xml:space="preserve">para cada ensaio </w:t>
      </w:r>
      <w:r w:rsidR="002E1D06" w:rsidRPr="002E1D06">
        <w:t>fo</w:t>
      </w:r>
      <w:r w:rsidR="002E1D06">
        <w:t>i calculado a partir da</w:t>
      </w:r>
      <w:r w:rsidR="003139F3" w:rsidRPr="003139F3">
        <w:t xml:space="preserve"> </w:t>
      </w:r>
      <w:r w:rsidR="003139F3" w:rsidRPr="003139F3">
        <w:fldChar w:fldCharType="begin"/>
      </w:r>
      <w:r w:rsidR="003139F3" w:rsidRPr="003139F3">
        <w:instrText xml:space="preserve"> REF _Ref488098501 \h  \* MERGEFORMAT </w:instrText>
      </w:r>
      <w:r w:rsidR="003139F3" w:rsidRPr="003139F3">
        <w:fldChar w:fldCharType="separate"/>
      </w:r>
      <w:r w:rsidR="00380A8E" w:rsidRPr="00380A8E">
        <w:t>Equação 18</w:t>
      </w:r>
      <w:r w:rsidR="003139F3" w:rsidRPr="003139F3">
        <w:fldChar w:fldCharType="end"/>
      </w:r>
      <w:r w:rsidR="002E1D06" w:rsidRPr="002E1D06">
        <w:t>, sendo comparado</w:t>
      </w:r>
      <w:r w:rsidR="002E1D06">
        <w:t xml:space="preserve"> </w:t>
      </w:r>
      <w:r w:rsidR="00755B7F">
        <w:t>a</w:t>
      </w:r>
      <w:r w:rsidR="002E1D06" w:rsidRPr="002E1D06">
        <w:t>o fator d</w:t>
      </w:r>
      <w:r w:rsidR="002E1D06">
        <w:t>e</w:t>
      </w:r>
      <w:r w:rsidR="00755B7F">
        <w:t xml:space="preserve"> atrito de Blasius para tubulações lisas</w:t>
      </w:r>
      <w:r w:rsidR="008D1BA6">
        <w:t xml:space="preserve"> (Equação 20)</w:t>
      </w:r>
      <w:r w:rsidR="002E1D06">
        <w:t>, como é</w:t>
      </w:r>
      <w:r w:rsidR="002E1D06" w:rsidRPr="002E1D06">
        <w:t xml:space="preserve"> </w:t>
      </w:r>
      <w:r w:rsidR="002E1D06">
        <w:t xml:space="preserve">apresentado na </w:t>
      </w:r>
      <w:r w:rsidR="003139F3" w:rsidRPr="003139F3">
        <w:fldChar w:fldCharType="begin"/>
      </w:r>
      <w:r w:rsidR="003139F3">
        <w:instrText xml:space="preserve"> REF _Ref488111146 \h </w:instrText>
      </w:r>
      <w:r w:rsidR="003139F3" w:rsidRPr="003139F3">
        <w:instrText xml:space="preserve"> \* MERGEFORMAT </w:instrText>
      </w:r>
      <w:r w:rsidR="003139F3" w:rsidRPr="003139F3">
        <w:fldChar w:fldCharType="separate"/>
      </w:r>
      <w:r w:rsidR="00D40ECB" w:rsidRPr="00D40ECB">
        <w:t>Figura 14</w:t>
      </w:r>
      <w:r w:rsidR="003139F3" w:rsidRPr="003139F3">
        <w:fldChar w:fldCharType="end"/>
      </w:r>
      <w:r w:rsidR="003139F3">
        <w:t xml:space="preserve">. </w:t>
      </w:r>
      <w:r w:rsidR="002E1D06">
        <w:t>O grá</w:t>
      </w:r>
      <w:r w:rsidR="002E1D06" w:rsidRPr="002E1D06">
        <w:t>fico</w:t>
      </w:r>
      <w:r w:rsidR="002E1D06">
        <w:t xml:space="preserve"> </w:t>
      </w:r>
      <w:r w:rsidR="002E1D06" w:rsidRPr="002E1D06">
        <w:t>foi constru</w:t>
      </w:r>
      <w:r w:rsidR="002E1D06">
        <w:t xml:space="preserve">ído </w:t>
      </w:r>
      <w:r>
        <w:t>por meio das média</w:t>
      </w:r>
      <w:r w:rsidR="009777E4">
        <w:t>s do</w:t>
      </w:r>
      <w:r w:rsidR="00755B7F">
        <w:t>s fatores de atrito experimentais</w:t>
      </w:r>
      <w:r w:rsidR="009777E4">
        <w:t xml:space="preserve"> do solvente ao longo do tempo, juntamente</w:t>
      </w:r>
      <w:r w:rsidR="002E1D06">
        <w:t xml:space="preserve"> </w:t>
      </w:r>
      <w:r>
        <w:t>das</w:t>
      </w:r>
      <w:r w:rsidR="002E1D06" w:rsidRPr="002E1D06">
        <w:t xml:space="preserve"> curva</w:t>
      </w:r>
      <w:r>
        <w:t>s</w:t>
      </w:r>
      <w:r w:rsidR="002E1D06" w:rsidRPr="002E1D06">
        <w:t xml:space="preserve"> de Blasius e </w:t>
      </w:r>
      <w:r>
        <w:t>de</w:t>
      </w:r>
      <w:r w:rsidR="009777E4">
        <w:t xml:space="preserve"> assíntota de Virk</w:t>
      </w:r>
      <w:r w:rsidR="00B67492">
        <w:t xml:space="preserve"> (Equação 3)</w:t>
      </w:r>
      <w:r w:rsidR="009777E4">
        <w:t>.</w:t>
      </w:r>
      <w:r w:rsidR="00C34AD8">
        <w:t xml:space="preserve"> O objetivo desta análise consiste em garantir a qualidade dos resultados e possibilitar o cálculo</w:t>
      </w:r>
      <w:r w:rsidR="00C34AD8" w:rsidRPr="002E1D06">
        <w:t xml:space="preserve"> </w:t>
      </w:r>
      <w:r w:rsidR="00C34AD8">
        <w:t>da redução de arraste alcançada pelas soluções por meio da referência para o escoamento de água, que é a curva de Blasius.</w:t>
      </w:r>
    </w:p>
    <w:p w:rsidR="00DF2027" w:rsidRPr="0038314C" w:rsidRDefault="002E1D06" w:rsidP="00A16BA1">
      <w:pPr>
        <w:rPr>
          <w:color w:val="FF0000"/>
        </w:rPr>
      </w:pPr>
      <w:r>
        <w:t xml:space="preserve">O erro </w:t>
      </w:r>
      <w:r w:rsidR="005D1FD6">
        <w:t>médio</w:t>
      </w:r>
      <w:r w:rsidR="009777E4">
        <w:t xml:space="preserve"> </w:t>
      </w:r>
      <w:r w:rsidRPr="002E1D06">
        <w:t>medido entre a curva de Blasius e</w:t>
      </w:r>
      <w:r w:rsidR="009777E4">
        <w:t xml:space="preserve"> os dados experimentais para a á</w:t>
      </w:r>
      <w:r w:rsidR="009B7603">
        <w:t xml:space="preserve">gua </w:t>
      </w:r>
      <w:r w:rsidR="009B7603" w:rsidRPr="005D1FD6">
        <w:t xml:space="preserve">foi da ordem de </w:t>
      </w:r>
      <w:r w:rsidR="009B7B0F">
        <w:t>8,0% para a menor vazão e 1,8</w:t>
      </w:r>
      <w:r w:rsidR="005D1FD6" w:rsidRPr="005D1FD6">
        <w:t>% para</w:t>
      </w:r>
      <w:r w:rsidR="00C34AD8">
        <w:t xml:space="preserve"> a maior vazão. Uma justificativa plausível para esta diferença de erros é o fato de que as medidas em menor vazão estão sendo realizadas próximas ao fundo de escala dos transdutores de pressão</w:t>
      </w:r>
      <w:r w:rsidR="00C34AD8" w:rsidRPr="00C34AD8">
        <w:t>,</w:t>
      </w:r>
      <w:r w:rsidR="00C34AD8">
        <w:t xml:space="preserve"> o que acarreta em u</w:t>
      </w:r>
      <w:r w:rsidR="00467F13">
        <w:t>ma maior incerteza nas medições</w:t>
      </w:r>
      <w:r w:rsidR="009B7603">
        <w:t xml:space="preserve">. Os resultados encontrados para o </w:t>
      </w:r>
      <w:r w:rsidR="007E0BC1">
        <w:t xml:space="preserve">fator de atrito do </w:t>
      </w:r>
      <w:r w:rsidR="009B7603">
        <w:t xml:space="preserve">solvente </w:t>
      </w:r>
      <w:r w:rsidR="007E0BC1">
        <w:t xml:space="preserve">puro nos números de </w:t>
      </w:r>
      <m:oMath>
        <m:r>
          <w:rPr>
            <w:rFonts w:ascii="Cambria Math" w:hAnsi="Cambria Math"/>
          </w:rPr>
          <m:t>Re</m:t>
        </m:r>
      </m:oMath>
      <w:r w:rsidR="007E0BC1">
        <w:t xml:space="preserve"> ensaiados </w:t>
      </w:r>
      <w:r w:rsidR="009B7603">
        <w:t>est</w:t>
      </w:r>
      <w:r w:rsidR="007E0BC1">
        <w:t>ão de acordo com o fator de atrito reportado em [30], seguindo a curva do fator de atrito de Blasius.</w:t>
      </w:r>
    </w:p>
    <w:p w:rsidR="005D1FD6" w:rsidRPr="001144AF" w:rsidRDefault="005D1FD6" w:rsidP="00DB3B3E">
      <w:pPr>
        <w:pStyle w:val="Legenda"/>
        <w:keepNext/>
        <w:spacing w:after="120"/>
        <w:rPr>
          <w:i w:val="0"/>
          <w:color w:val="auto"/>
          <w:sz w:val="20"/>
        </w:rPr>
      </w:pPr>
      <w:bookmarkStart w:id="120" w:name="_Ref488111146"/>
      <w:bookmarkStart w:id="121" w:name="_Toc488706055"/>
      <w:r w:rsidRPr="001144AF">
        <w:rPr>
          <w:i w:val="0"/>
          <w:color w:val="auto"/>
          <w:sz w:val="20"/>
        </w:rPr>
        <w:t xml:space="preserve">Figura </w:t>
      </w:r>
      <w:r w:rsidRPr="001144AF">
        <w:rPr>
          <w:i w:val="0"/>
          <w:color w:val="auto"/>
          <w:sz w:val="20"/>
        </w:rPr>
        <w:fldChar w:fldCharType="begin"/>
      </w:r>
      <w:r w:rsidRPr="001144AF">
        <w:rPr>
          <w:i w:val="0"/>
          <w:color w:val="auto"/>
          <w:sz w:val="20"/>
        </w:rPr>
        <w:instrText xml:space="preserve"> SEQ Figura \* ARABIC </w:instrText>
      </w:r>
      <w:r w:rsidRPr="001144AF">
        <w:rPr>
          <w:i w:val="0"/>
          <w:color w:val="auto"/>
          <w:sz w:val="20"/>
        </w:rPr>
        <w:fldChar w:fldCharType="separate"/>
      </w:r>
      <w:r w:rsidR="004C240D">
        <w:rPr>
          <w:i w:val="0"/>
          <w:noProof/>
          <w:color w:val="auto"/>
          <w:sz w:val="20"/>
        </w:rPr>
        <w:t>14</w:t>
      </w:r>
      <w:r w:rsidRPr="001144AF">
        <w:rPr>
          <w:i w:val="0"/>
          <w:color w:val="auto"/>
          <w:sz w:val="20"/>
        </w:rPr>
        <w:fldChar w:fldCharType="end"/>
      </w:r>
      <w:bookmarkEnd w:id="120"/>
      <w:r w:rsidR="00450291">
        <w:rPr>
          <w:i w:val="0"/>
          <w:color w:val="auto"/>
          <w:sz w:val="20"/>
        </w:rPr>
        <w:t xml:space="preserve"> -</w:t>
      </w:r>
      <w:r w:rsidRPr="001144AF">
        <w:rPr>
          <w:i w:val="0"/>
          <w:color w:val="auto"/>
          <w:sz w:val="20"/>
        </w:rPr>
        <w:t xml:space="preserve"> Gráfico de fator de atrito x Reynolds. </w:t>
      </w:r>
      <w:r w:rsidR="001144AF">
        <w:rPr>
          <w:i w:val="0"/>
          <w:color w:val="auto"/>
          <w:sz w:val="20"/>
        </w:rPr>
        <w:t>Os cí</w:t>
      </w:r>
      <w:r w:rsidRPr="001144AF">
        <w:rPr>
          <w:i w:val="0"/>
          <w:color w:val="auto"/>
          <w:sz w:val="20"/>
        </w:rPr>
        <w:t>rculos vermelhos</w:t>
      </w:r>
      <w:r w:rsidR="001144AF">
        <w:rPr>
          <w:i w:val="0"/>
          <w:color w:val="auto"/>
          <w:sz w:val="20"/>
        </w:rPr>
        <w:t xml:space="preserve"> representam os resultados </w:t>
      </w:r>
      <w:r w:rsidR="001144AF" w:rsidRPr="001144AF">
        <w:rPr>
          <w:i w:val="0"/>
          <w:color w:val="auto"/>
          <w:sz w:val="20"/>
        </w:rPr>
        <w:t>experimentais</w:t>
      </w:r>
      <w:r w:rsidRPr="001144AF">
        <w:rPr>
          <w:i w:val="0"/>
          <w:color w:val="auto"/>
          <w:sz w:val="20"/>
        </w:rPr>
        <w:t>.</w:t>
      </w:r>
      <w:bookmarkEnd w:id="121"/>
    </w:p>
    <w:p w:rsidR="00DF2027" w:rsidRDefault="00450291" w:rsidP="00A16BA1">
      <w:pPr>
        <w:jc w:val="center"/>
      </w:pPr>
      <w:r w:rsidRPr="00450291">
        <w:rPr>
          <w:noProof/>
          <w:lang w:eastAsia="pt-BR"/>
        </w:rPr>
        <w:drawing>
          <wp:inline distT="0" distB="0" distL="0" distR="0" wp14:anchorId="3DCFFE23" wp14:editId="6F555689">
            <wp:extent cx="3751305" cy="3600000"/>
            <wp:effectExtent l="0" t="0" r="1905" b="635"/>
            <wp:docPr id="71" name="Imagem 71" descr="C:\Users\Jhonnilo\Google Drive\PG UFES\Drag Reduction\Testes\Graficos\Export\validac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honnilo\Google Drive\PG UFES\Drag Reduction\Testes\Graficos\Export\validacao.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1305" cy="3600000"/>
                    </a:xfrm>
                    <a:prstGeom prst="rect">
                      <a:avLst/>
                    </a:prstGeom>
                    <a:noFill/>
                    <a:ln>
                      <a:noFill/>
                    </a:ln>
                  </pic:spPr>
                </pic:pic>
              </a:graphicData>
            </a:graphic>
          </wp:inline>
        </w:drawing>
      </w:r>
      <w:r w:rsidR="00FC4FA9">
        <w:tab/>
      </w:r>
    </w:p>
    <w:p w:rsidR="008C6988" w:rsidRDefault="00FC4FA9" w:rsidP="00A16BA1">
      <w:pPr>
        <w:jc w:val="center"/>
      </w:pPr>
      <w:r>
        <w:t>Fonte: Autoria própria.</w:t>
      </w:r>
    </w:p>
    <w:p w:rsidR="00CB65BD" w:rsidRPr="00952F5B" w:rsidRDefault="00CB65BD" w:rsidP="00CB65BD">
      <w:pPr>
        <w:pStyle w:val="Nvel1-PG"/>
      </w:pPr>
      <w:bookmarkStart w:id="122" w:name="_Toc488678371"/>
      <w:r w:rsidRPr="00952F5B">
        <w:lastRenderedPageBreak/>
        <w:t xml:space="preserve">4.2 </w:t>
      </w:r>
      <w:r w:rsidR="00952F5B" w:rsidRPr="00952F5B">
        <w:t>Ensaios com Goma Guar</w:t>
      </w:r>
      <w:bookmarkEnd w:id="122"/>
    </w:p>
    <w:p w:rsidR="00435949" w:rsidRDefault="00121D84" w:rsidP="003139F3">
      <w:r>
        <w:t>É possível realizar uma análise do</w:t>
      </w:r>
      <w:r w:rsidR="00952F5B" w:rsidRPr="00952F5B">
        <w:t xml:space="preserve">s resultados </w:t>
      </w:r>
      <w:r>
        <w:t>dos ensaios com Goma Guar fixando-se a vazão</w:t>
      </w:r>
      <w:r w:rsidR="00156BBE">
        <w:t xml:space="preserve"> e a temperatura</w:t>
      </w:r>
      <w:r>
        <w:t xml:space="preserve">, ou seja, os números de Reynolds, analisando assim o efeito das concentrações </w:t>
      </w:r>
      <w:r w:rsidR="00AF6A71">
        <w:t xml:space="preserve">de </w:t>
      </w:r>
      <m:oMath>
        <m:r>
          <w:rPr>
            <w:rFonts w:ascii="Cambria Math" w:hAnsi="Cambria Math"/>
          </w:rPr>
          <m:t>50</m:t>
        </m:r>
      </m:oMath>
      <w:r w:rsidR="00AF6A71">
        <w:t xml:space="preserve">, </w:t>
      </w:r>
      <m:oMath>
        <m:r>
          <w:rPr>
            <w:rFonts w:ascii="Cambria Math" w:hAnsi="Cambria Math"/>
          </w:rPr>
          <m:t>100</m:t>
        </m:r>
      </m:oMath>
      <w:r w:rsidR="00AF6A71">
        <w:t xml:space="preserve"> e </w:t>
      </w:r>
      <m:oMath>
        <m:r>
          <w:rPr>
            <w:rFonts w:ascii="Cambria Math" w:hAnsi="Cambria Math"/>
          </w:rPr>
          <m:t>200 ppm</m:t>
        </m:r>
      </m:oMath>
      <w:r w:rsidR="00AF6A71">
        <w:t xml:space="preserve"> </w:t>
      </w:r>
      <w:r>
        <w:t>nas soluções</w:t>
      </w:r>
      <w:r w:rsidR="00952F5B" w:rsidRPr="00952F5B">
        <w:t>.</w:t>
      </w:r>
      <w:r>
        <w:t xml:space="preserve"> Uma outra análise possível consiste em fixar as concentrações, possibilitando compa</w:t>
      </w:r>
      <w:r w:rsidR="00A23653">
        <w:t>rar o desempenho das soluções no</w:t>
      </w:r>
      <w:r>
        <w:t xml:space="preserve">s </w:t>
      </w:r>
      <m:oMath>
        <m:r>
          <w:rPr>
            <w:rFonts w:ascii="Cambria Math" w:hAnsi="Cambria Math"/>
          </w:rPr>
          <m:t>Re</m:t>
        </m:r>
      </m:oMath>
      <w:r w:rsidR="00A23653">
        <w:t xml:space="preserve"> ensaiado</w:t>
      </w:r>
      <w:r w:rsidR="00836B2B">
        <w:t>s</w:t>
      </w:r>
      <w:r>
        <w:t>. Os resultados de fator de atrito, redução de arraste (</w:t>
      </w:r>
      <m:oMath>
        <m:r>
          <w:rPr>
            <w:rFonts w:ascii="Cambria Math" w:hAnsi="Cambria Math"/>
          </w:rPr>
          <m:t>DR%</m:t>
        </m:r>
      </m:oMath>
      <w:r>
        <w:t xml:space="preserve">) e potência ativa </w:t>
      </w:r>
      <w:r w:rsidR="009A7836">
        <w:t>são exibidos a seguir.</w:t>
      </w:r>
      <w:r w:rsidR="00BB693D">
        <w:t xml:space="preserve"> </w:t>
      </w:r>
    </w:p>
    <w:p w:rsidR="00BB693D" w:rsidRDefault="00BB693D" w:rsidP="00F13CCE">
      <w:pPr>
        <w:pStyle w:val="Nvel3-PG"/>
        <w:tabs>
          <w:tab w:val="left" w:pos="5774"/>
        </w:tabs>
        <w:rPr>
          <w:rFonts w:cstheme="minorBidi"/>
          <w:szCs w:val="22"/>
        </w:rPr>
      </w:pPr>
    </w:p>
    <w:p w:rsidR="00435949" w:rsidRDefault="009A7836" w:rsidP="00F13CCE">
      <w:pPr>
        <w:pStyle w:val="Nvel3-PG"/>
        <w:tabs>
          <w:tab w:val="left" w:pos="5774"/>
        </w:tabs>
      </w:pPr>
      <w:bookmarkStart w:id="123" w:name="_Toc488678372"/>
      <w:r w:rsidRPr="00952F5B">
        <w:t>4.2</w:t>
      </w:r>
      <w:r>
        <w:t>.1</w:t>
      </w:r>
      <w:r w:rsidRPr="00952F5B">
        <w:t xml:space="preserve"> </w:t>
      </w:r>
      <w:r>
        <w:t xml:space="preserve">Efeito </w:t>
      </w:r>
      <w:r w:rsidR="001F5D5E">
        <w:t xml:space="preserve">das soluções no </w:t>
      </w:r>
      <w:r w:rsidR="001F4796">
        <w:t>fator de atrito</w:t>
      </w:r>
      <w:r w:rsidR="00586706">
        <w:t xml:space="preserve"> e </w:t>
      </w:r>
      <w:r w:rsidR="00B81D94">
        <w:t>DR%</w:t>
      </w:r>
      <w:bookmarkEnd w:id="123"/>
    </w:p>
    <w:p w:rsidR="00BB693D" w:rsidRDefault="00BB693D" w:rsidP="00A017BA">
      <w:r w:rsidRPr="003139F3">
        <w:t>As</w:t>
      </w:r>
      <w:r>
        <w:t xml:space="preserve"> </w:t>
      </w:r>
      <w:r>
        <w:fldChar w:fldCharType="begin"/>
      </w:r>
      <w:r>
        <w:instrText xml:space="preserve"> REF _Ref488111274 \h </w:instrText>
      </w:r>
      <w:r w:rsidR="00A017BA">
        <w:instrText xml:space="preserve"> \* MERGEFORMAT </w:instrText>
      </w:r>
      <w:r>
        <w:fldChar w:fldCharType="separate"/>
      </w:r>
      <w:r w:rsidR="00D40ECB" w:rsidRPr="00515A7B">
        <w:t xml:space="preserve">Figura </w:t>
      </w:r>
      <w:r w:rsidR="00D40ECB">
        <w:rPr>
          <w:noProof/>
        </w:rPr>
        <w:t>15</w:t>
      </w:r>
      <w:r>
        <w:fldChar w:fldCharType="end"/>
      </w:r>
      <w:r>
        <w:t xml:space="preserve"> a </w:t>
      </w:r>
      <w:r w:rsidRPr="00BB693D">
        <w:rPr>
          <w:color w:val="000000" w:themeColor="text1"/>
        </w:rPr>
        <w:t>1</w:t>
      </w:r>
      <w:r w:rsidR="00D40ECB">
        <w:rPr>
          <w:color w:val="000000" w:themeColor="text1"/>
        </w:rPr>
        <w:t>8</w:t>
      </w:r>
      <w:r w:rsidRPr="00BB693D">
        <w:rPr>
          <w:color w:val="000000" w:themeColor="text1"/>
        </w:rPr>
        <w:t xml:space="preserve"> </w:t>
      </w:r>
      <w:r w:rsidRPr="003139F3">
        <w:t>apresentam as curvas de fator de atrito e redução de arraste ao longo do tempo</w:t>
      </w:r>
      <w:r w:rsidR="00FC4FA9">
        <w:t>, respectivamente,</w:t>
      </w:r>
      <w:r w:rsidRPr="003139F3">
        <w:t xml:space="preserve"> das diferentes </w:t>
      </w:r>
      <w:r w:rsidR="00690064">
        <w:t>concentrações de Goma Guar no</w:t>
      </w:r>
      <w:r>
        <w:t xml:space="preserve">s </w:t>
      </w:r>
      <m:oMath>
        <m:r>
          <w:rPr>
            <w:rFonts w:ascii="Cambria Math" w:hAnsi="Cambria Math"/>
          </w:rPr>
          <m:t>Re</m:t>
        </m:r>
      </m:oMath>
      <w:r w:rsidR="00690064">
        <w:rPr>
          <w:rFonts w:eastAsiaTheme="minorEastAsia"/>
        </w:rPr>
        <w:t xml:space="preserve"> </w:t>
      </w:r>
      <w:r w:rsidR="00690064">
        <w:t>definido</w:t>
      </w:r>
      <w:r>
        <w:t>s para os ensaios.</w:t>
      </w:r>
    </w:p>
    <w:p w:rsidR="00BB693D" w:rsidRPr="00515A7B" w:rsidRDefault="00BB693D" w:rsidP="00515A7B">
      <w:pPr>
        <w:pStyle w:val="Figura-PG"/>
      </w:pPr>
      <w:bookmarkStart w:id="124" w:name="_Ref488111274"/>
      <w:bookmarkStart w:id="125" w:name="_Toc488706056"/>
      <w:r w:rsidRPr="00515A7B">
        <w:t xml:space="preserve">Figura </w:t>
      </w:r>
      <w:fldSimple w:instr=" SEQ Figura \* ARABIC ">
        <w:r w:rsidR="004C240D">
          <w:rPr>
            <w:noProof/>
          </w:rPr>
          <w:t>15</w:t>
        </w:r>
      </w:fldSimple>
      <w:bookmarkEnd w:id="124"/>
      <w:r w:rsidR="005A4095">
        <w:t xml:space="preserve"> - </w:t>
      </w:r>
      <w:r w:rsidRPr="00515A7B">
        <w:t xml:space="preserve">Fator de atrito das soluções de Goma Guar para </w:t>
      </w:r>
      <w:r w:rsidR="00FC4FA9">
        <w:t>Re = 34000; Q = 2 m³/</w:t>
      </w:r>
      <w:r w:rsidR="0097480F" w:rsidRPr="00515A7B">
        <w:t>h</w:t>
      </w:r>
      <w:r w:rsidRPr="00515A7B">
        <w:t>.</w:t>
      </w:r>
      <w:bookmarkEnd w:id="125"/>
    </w:p>
    <w:p w:rsidR="00BB693D" w:rsidRDefault="004502A9" w:rsidP="00BB693D">
      <w:pPr>
        <w:jc w:val="center"/>
      </w:pPr>
      <w:r w:rsidRPr="004502A9">
        <w:rPr>
          <w:noProof/>
          <w:lang w:eastAsia="pt-BR"/>
        </w:rPr>
        <w:drawing>
          <wp:inline distT="0" distB="0" distL="0" distR="0" wp14:anchorId="37E5AD19" wp14:editId="012E5E25">
            <wp:extent cx="4105052" cy="3852000"/>
            <wp:effectExtent l="0" t="0" r="0" b="0"/>
            <wp:docPr id="19" name="Imagem 19" descr="C:\Users\Jhonnilo\Google Drive\PG UFES\Drag Reduction\Testes\Graficos\Export\f gua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onnilo\Google Drive\PG UFES\Drag Reduction\Testes\Graficos\Export\f guar 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05052" cy="3852000"/>
                    </a:xfrm>
                    <a:prstGeom prst="rect">
                      <a:avLst/>
                    </a:prstGeom>
                    <a:noFill/>
                    <a:ln>
                      <a:noFill/>
                    </a:ln>
                  </pic:spPr>
                </pic:pic>
              </a:graphicData>
            </a:graphic>
          </wp:inline>
        </w:drawing>
      </w:r>
      <w:r>
        <w:tab/>
      </w:r>
    </w:p>
    <w:p w:rsidR="00515A7B" w:rsidRDefault="00515A7B" w:rsidP="00BB693D">
      <w:pPr>
        <w:jc w:val="center"/>
      </w:pPr>
      <w:r>
        <w:t>Fonte: Autoria própria</w:t>
      </w:r>
    </w:p>
    <w:p w:rsidR="00515A7B" w:rsidRDefault="00515A7B" w:rsidP="00BB693D">
      <w:pPr>
        <w:jc w:val="center"/>
      </w:pPr>
    </w:p>
    <w:p w:rsidR="002B3A7D" w:rsidRDefault="002B3A7D" w:rsidP="002B3A7D"/>
    <w:p w:rsidR="002B3A7D" w:rsidRDefault="002B3A7D" w:rsidP="002B3A7D"/>
    <w:p w:rsidR="002B3A7D" w:rsidRPr="00E31081" w:rsidRDefault="002B3A7D" w:rsidP="002B3A7D">
      <w:pPr>
        <w:pStyle w:val="Figura-PG"/>
      </w:pPr>
      <w:bookmarkStart w:id="126" w:name="_Ref488111291"/>
      <w:bookmarkStart w:id="127" w:name="_Toc488706057"/>
      <w:bookmarkStart w:id="128" w:name="_Ref488111281"/>
      <w:r w:rsidRPr="00E31081">
        <w:lastRenderedPageBreak/>
        <w:t xml:space="preserve">Figura </w:t>
      </w:r>
      <w:fldSimple w:instr=" SEQ Figura \* ARABIC ">
        <w:r w:rsidR="004C240D">
          <w:rPr>
            <w:noProof/>
          </w:rPr>
          <w:t>16</w:t>
        </w:r>
      </w:fldSimple>
      <w:bookmarkEnd w:id="126"/>
      <w:r>
        <w:t xml:space="preserve"> - </w:t>
      </w:r>
      <w:r w:rsidRPr="00E31081">
        <w:t xml:space="preserve">Fator de atrito das soluções de Goma Guar para </w:t>
      </w:r>
      <w:r>
        <w:t xml:space="preserve">Re = 68000; </w:t>
      </w:r>
      <w:r w:rsidRPr="00E31081">
        <w:t>Q = 4 m³/h.</w:t>
      </w:r>
      <w:bookmarkEnd w:id="127"/>
    </w:p>
    <w:p w:rsidR="002B3A7D" w:rsidRDefault="002B3A7D" w:rsidP="002B3A7D">
      <w:pPr>
        <w:jc w:val="center"/>
      </w:pPr>
      <w:r w:rsidRPr="004502A9">
        <w:rPr>
          <w:noProof/>
          <w:lang w:eastAsia="pt-BR"/>
        </w:rPr>
        <w:drawing>
          <wp:inline distT="0" distB="0" distL="0" distR="0" wp14:anchorId="6ADE5E8C" wp14:editId="6FDE0809">
            <wp:extent cx="4105052" cy="3852000"/>
            <wp:effectExtent l="0" t="0" r="0" b="0"/>
            <wp:docPr id="22" name="Imagem 22" descr="C:\Users\Jhonnilo\Google Drive\PG UFES\Drag Reduction\Testes\Graficos\Export\f guar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onnilo\Google Drive\PG UFES\Drag Reduction\Testes\Graficos\Export\f guar 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5052" cy="3852000"/>
                    </a:xfrm>
                    <a:prstGeom prst="rect">
                      <a:avLst/>
                    </a:prstGeom>
                    <a:noFill/>
                    <a:ln>
                      <a:noFill/>
                    </a:ln>
                  </pic:spPr>
                </pic:pic>
              </a:graphicData>
            </a:graphic>
          </wp:inline>
        </w:drawing>
      </w:r>
      <w:r>
        <w:tab/>
      </w:r>
    </w:p>
    <w:p w:rsidR="002B3A7D" w:rsidRDefault="002B3A7D" w:rsidP="002B3A7D">
      <w:pPr>
        <w:jc w:val="center"/>
      </w:pPr>
      <w:r>
        <w:t>Fonte: Autoria própria</w:t>
      </w:r>
    </w:p>
    <w:p w:rsidR="00BB693D" w:rsidRPr="00E31081" w:rsidRDefault="00BB693D" w:rsidP="00515A7B">
      <w:pPr>
        <w:pStyle w:val="Figura-PG"/>
      </w:pPr>
      <w:bookmarkStart w:id="129" w:name="_Toc488706058"/>
      <w:r w:rsidRPr="00E31081">
        <w:t xml:space="preserve">Figura </w:t>
      </w:r>
      <w:fldSimple w:instr=" SEQ Figura \* ARABIC ">
        <w:r w:rsidR="004C240D">
          <w:rPr>
            <w:noProof/>
          </w:rPr>
          <w:t>17</w:t>
        </w:r>
      </w:fldSimple>
      <w:bookmarkEnd w:id="128"/>
      <w:r w:rsidR="005A4095">
        <w:t xml:space="preserve"> - </w:t>
      </w:r>
      <w:r w:rsidRPr="00E31081">
        <w:t xml:space="preserve">Redução de arraste percentual das soluções de Goma Guar para </w:t>
      </w:r>
      <w:r w:rsidR="0097480F">
        <w:t xml:space="preserve">Re = 34000; </w:t>
      </w:r>
      <w:r w:rsidRPr="00E31081">
        <w:t>Q = 2 m³/h.</w:t>
      </w:r>
      <w:bookmarkEnd w:id="129"/>
    </w:p>
    <w:p w:rsidR="00BB693D" w:rsidRDefault="004502A9" w:rsidP="00BB693D">
      <w:pPr>
        <w:jc w:val="center"/>
      </w:pPr>
      <w:r w:rsidRPr="004502A9">
        <w:rPr>
          <w:noProof/>
          <w:lang w:eastAsia="pt-BR"/>
        </w:rPr>
        <w:drawing>
          <wp:inline distT="0" distB="0" distL="0" distR="0" wp14:anchorId="33E72B4B" wp14:editId="4674B6FC">
            <wp:extent cx="3992584" cy="3852000"/>
            <wp:effectExtent l="0" t="0" r="8255" b="0"/>
            <wp:docPr id="21" name="Imagem 21" descr="C:\Users\Jhonnilo\Google Drive\PG UFES\Drag Reduction\Testes\Graficos\Export\dr gua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onnilo\Google Drive\PG UFES\Drag Reduction\Testes\Graficos\Export\dr guar 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92584" cy="3852000"/>
                    </a:xfrm>
                    <a:prstGeom prst="rect">
                      <a:avLst/>
                    </a:prstGeom>
                    <a:noFill/>
                    <a:ln>
                      <a:noFill/>
                    </a:ln>
                  </pic:spPr>
                </pic:pic>
              </a:graphicData>
            </a:graphic>
          </wp:inline>
        </w:drawing>
      </w:r>
      <w:r w:rsidR="005A4095">
        <w:tab/>
      </w:r>
    </w:p>
    <w:p w:rsidR="002B3A7D" w:rsidRDefault="002B3A7D" w:rsidP="002B3A7D">
      <w:pPr>
        <w:tabs>
          <w:tab w:val="left" w:pos="1545"/>
          <w:tab w:val="center" w:pos="4535"/>
        </w:tabs>
        <w:jc w:val="left"/>
      </w:pPr>
      <w:r>
        <w:tab/>
      </w:r>
      <w:r>
        <w:tab/>
        <w:t>Fonte: Autoria própria</w:t>
      </w:r>
    </w:p>
    <w:p w:rsidR="00BB693D" w:rsidRPr="00E31081" w:rsidRDefault="00BB693D" w:rsidP="00074803">
      <w:pPr>
        <w:pStyle w:val="Figura-PG"/>
      </w:pPr>
      <w:bookmarkStart w:id="130" w:name="_Ref488111296"/>
      <w:bookmarkStart w:id="131" w:name="_Toc488706059"/>
      <w:r w:rsidRPr="00E31081">
        <w:lastRenderedPageBreak/>
        <w:t xml:space="preserve">Figura </w:t>
      </w:r>
      <w:fldSimple w:instr=" SEQ Figura \* ARABIC ">
        <w:r w:rsidR="004C240D">
          <w:rPr>
            <w:noProof/>
          </w:rPr>
          <w:t>18</w:t>
        </w:r>
      </w:fldSimple>
      <w:bookmarkEnd w:id="130"/>
      <w:r w:rsidR="00186A98">
        <w:t xml:space="preserve"> - </w:t>
      </w:r>
      <w:r w:rsidRPr="00E31081">
        <w:t xml:space="preserve">Redução de arraste percentual das soluções de Goma Guar para </w:t>
      </w:r>
      <w:r w:rsidR="0097480F">
        <w:t xml:space="preserve">Re = 68000; </w:t>
      </w:r>
      <w:r w:rsidRPr="00E31081">
        <w:t>Q = 4 m³/h.</w:t>
      </w:r>
      <w:bookmarkEnd w:id="131"/>
    </w:p>
    <w:p w:rsidR="00BB693D" w:rsidRDefault="004502A9" w:rsidP="00BB693D">
      <w:pPr>
        <w:jc w:val="center"/>
      </w:pPr>
      <w:r w:rsidRPr="004502A9">
        <w:rPr>
          <w:noProof/>
          <w:lang w:eastAsia="pt-BR"/>
        </w:rPr>
        <w:drawing>
          <wp:inline distT="0" distB="0" distL="0" distR="0" wp14:anchorId="069CBA1E" wp14:editId="459CB8D6">
            <wp:extent cx="3992584" cy="3852000"/>
            <wp:effectExtent l="0" t="0" r="8255" b="0"/>
            <wp:docPr id="24" name="Imagem 24" descr="C:\Users\Jhonnilo\Google Drive\PG UFES\Drag Reduction\Testes\Graficos\Export\dr guar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honnilo\Google Drive\PG UFES\Drag Reduction\Testes\Graficos\Export\dr guar 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92584" cy="3852000"/>
                    </a:xfrm>
                    <a:prstGeom prst="rect">
                      <a:avLst/>
                    </a:prstGeom>
                    <a:noFill/>
                    <a:ln>
                      <a:noFill/>
                    </a:ln>
                  </pic:spPr>
                </pic:pic>
              </a:graphicData>
            </a:graphic>
          </wp:inline>
        </w:drawing>
      </w:r>
      <w:r w:rsidR="00FC4FA9">
        <w:tab/>
      </w:r>
      <w:r w:rsidR="00FC4FA9">
        <w:tab/>
      </w:r>
    </w:p>
    <w:p w:rsidR="00515A7B" w:rsidRDefault="00515A7B" w:rsidP="00515A7B">
      <w:pPr>
        <w:jc w:val="center"/>
      </w:pPr>
      <w:r>
        <w:t>Fonte: Autoria própria</w:t>
      </w:r>
    </w:p>
    <w:p w:rsidR="0010032A" w:rsidRDefault="001661E3" w:rsidP="00FC046C">
      <w:r>
        <w:t xml:space="preserve">Com </w:t>
      </w:r>
      <w:r w:rsidR="00847EF2">
        <w:t xml:space="preserve">relação às curvas de fator de atrito, percebe-se, </w:t>
      </w:r>
      <w:r>
        <w:t>base</w:t>
      </w:r>
      <w:r w:rsidR="00847EF2">
        <w:t>ando-se</w:t>
      </w:r>
      <w:r>
        <w:t xml:space="preserve"> na referência </w:t>
      </w:r>
      <w:r w:rsidR="0010032A">
        <w:t xml:space="preserve">de </w:t>
      </w:r>
      <w:r w:rsidR="00847EF2" w:rsidRPr="00847EF2">
        <w:rPr>
          <w:rFonts w:ascii="Times New Roman" w:hAnsi="Times New Roman" w:cs="Times New Roman"/>
          <w:i/>
        </w:rPr>
        <w:t>f</w:t>
      </w:r>
      <w:r w:rsidR="00847EF2">
        <w:t xml:space="preserve"> </w:t>
      </w:r>
      <w:r w:rsidR="0010032A">
        <w:t xml:space="preserve">Blasius, </w:t>
      </w:r>
      <w:r>
        <w:t>adotada para o solvente em cada</w:t>
      </w:r>
      <w:r w:rsidR="0010032A">
        <w:t xml:space="preserve"> </w:t>
      </w:r>
      <m:oMath>
        <m:r>
          <w:rPr>
            <w:rFonts w:ascii="Cambria Math" w:hAnsi="Cambria Math"/>
          </w:rPr>
          <m:t>Re</m:t>
        </m:r>
      </m:oMath>
      <w:r>
        <w:t xml:space="preserve">, é possível identificar que </w:t>
      </w:r>
      <w:r w:rsidR="00C4401D">
        <w:t xml:space="preserve">todas as concentrações testadas </w:t>
      </w:r>
      <w:r>
        <w:rPr>
          <w:rFonts w:eastAsiaTheme="minorEastAsia"/>
        </w:rPr>
        <w:t xml:space="preserve">apresentam uma redução do </w:t>
      </w:r>
      <w:r>
        <w:t>fator de atrito em relação ao solvente</w:t>
      </w:r>
      <w:r w:rsidR="00BB693D">
        <w:t xml:space="preserve">, independente da vazão. </w:t>
      </w:r>
      <w:r w:rsidR="00C4401D">
        <w:t>C</w:t>
      </w:r>
      <w:r w:rsidR="0097480F">
        <w:t>om</w:t>
      </w:r>
      <w:r w:rsidR="00B679AE">
        <w:t>o</w:t>
      </w:r>
      <w:r w:rsidR="00847EF2">
        <w:t xml:space="preserve"> esperado a partir de resultados com outros aditivos</w:t>
      </w:r>
      <w:r w:rsidR="00B679AE">
        <w:rPr>
          <w:rFonts w:eastAsiaTheme="minorEastAsia"/>
        </w:rPr>
        <w:t xml:space="preserve">, a eficiência da solução </w:t>
      </w:r>
      <w:r w:rsidR="00847EF2">
        <w:rPr>
          <w:rFonts w:eastAsiaTheme="minorEastAsia"/>
        </w:rPr>
        <w:t xml:space="preserve">de Goma Guar </w:t>
      </w:r>
      <w:r w:rsidR="00B679AE">
        <w:rPr>
          <w:rFonts w:eastAsiaTheme="minorEastAsia"/>
        </w:rPr>
        <w:t xml:space="preserve">na redução de arraste </w:t>
      </w:r>
      <w:r w:rsidR="00A0628D">
        <w:rPr>
          <w:rFonts w:eastAsiaTheme="minorEastAsia"/>
        </w:rPr>
        <w:t>aumenta com a concentração, o mesmo é observado em outros trabalhos [</w:t>
      </w:r>
      <w:r w:rsidR="00B679AE">
        <w:rPr>
          <w:rFonts w:eastAsiaTheme="minorEastAsia"/>
        </w:rPr>
        <w:t>5, 36, 39, 40]</w:t>
      </w:r>
      <w:r w:rsidR="00847EF2">
        <w:t xml:space="preserve">. Este comportamento foi identificado em todos os ensaios, com exceção da curva da solução de </w:t>
      </w:r>
      <m:oMath>
        <m:r>
          <w:rPr>
            <w:rFonts w:ascii="Cambria Math" w:hAnsi="Cambria Math"/>
          </w:rPr>
          <m:t>100 pmm</m:t>
        </m:r>
      </m:oMath>
      <w:r w:rsidR="00847EF2">
        <w:rPr>
          <w:rFonts w:eastAsiaTheme="minorEastAsia"/>
        </w:rPr>
        <w:t xml:space="preserve"> em </w:t>
      </w:r>
      <m:oMath>
        <m:r>
          <w:rPr>
            <w:rFonts w:ascii="Cambria Math" w:eastAsiaTheme="minorEastAsia" w:hAnsi="Cambria Math"/>
          </w:rPr>
          <m:t>Re=68000</m:t>
        </m:r>
      </m:oMath>
      <w:r w:rsidR="00847EF2">
        <w:t>, que apresenta uma inconsistência. É possível que</w:t>
      </w:r>
      <w:r w:rsidR="002B3A7D">
        <w:t xml:space="preserve"> a</w:t>
      </w:r>
      <w:r w:rsidR="00847EF2">
        <w:t xml:space="preserve"> distinção entre esta curva e a curva de </w:t>
      </w:r>
      <m:oMath>
        <m:r>
          <w:rPr>
            <w:rFonts w:ascii="Cambria Math" w:hAnsi="Cambria Math"/>
          </w:rPr>
          <m:t>200 ppm</m:t>
        </m:r>
      </m:oMath>
      <w:r w:rsidR="002B3A7D">
        <w:t xml:space="preserve"> não possa</w:t>
      </w:r>
      <w:r w:rsidR="00847EF2">
        <w:t xml:space="preserve"> ser identificada </w:t>
      </w:r>
      <w:r w:rsidR="00847EF2" w:rsidRPr="00D850A8">
        <w:t>em fu</w:t>
      </w:r>
      <w:r w:rsidR="00847EF2">
        <w:t xml:space="preserve">nção das incertezas de medição no transdutor de pressão durante este experimento. Portanto, para se obter uma análise mais clara sobre o comportamento destas soluções, serão utilizadas as curvas </w:t>
      </w:r>
      <w:r w:rsidR="008C11F2">
        <w:t xml:space="preserve">de </w:t>
      </w:r>
      <w:r w:rsidR="00847EF2" w:rsidRPr="00D850A8">
        <w:t>potência</w:t>
      </w:r>
      <w:r w:rsidR="00E04E92">
        <w:t xml:space="preserve"> ativa</w:t>
      </w:r>
      <w:r w:rsidR="00847EF2" w:rsidRPr="00D850A8">
        <w:t xml:space="preserve"> </w:t>
      </w:r>
      <w:r w:rsidR="00847EF2">
        <w:t xml:space="preserve">instantânea </w:t>
      </w:r>
      <w:r w:rsidR="00E04E92">
        <w:t>de bombeamento</w:t>
      </w:r>
      <w:r w:rsidR="00847EF2">
        <w:t xml:space="preserve"> presentes na seção 4.2.2.</w:t>
      </w:r>
    </w:p>
    <w:p w:rsidR="00FC046C" w:rsidRDefault="00847EF2" w:rsidP="00FC046C">
      <w:r>
        <w:t>A mesma inconsistência é verificada na curva</w:t>
      </w:r>
      <w:r w:rsidR="00586706" w:rsidRPr="00586706">
        <w:t xml:space="preserve"> de </w:t>
      </w:r>
      <m:oMath>
        <m:r>
          <w:rPr>
            <w:rFonts w:ascii="Cambria Math" w:hAnsi="Cambria Math" w:cs="Times New Roman"/>
          </w:rPr>
          <m:t>DR%</m:t>
        </m:r>
      </m:oMath>
      <w:r w:rsidR="00E37FA8">
        <w:rPr>
          <w:rFonts w:eastAsiaTheme="minorEastAsia"/>
        </w:rPr>
        <w:t>, onde também</w:t>
      </w:r>
      <w:r w:rsidR="00586706" w:rsidRPr="00586706">
        <w:t xml:space="preserve"> </w:t>
      </w:r>
      <w:r w:rsidR="00586706">
        <w:t xml:space="preserve">é possível identificar a magnitude das reduções de arraste iniciais </w:t>
      </w:r>
      <w:r w:rsidR="00DF1EC4">
        <w:t xml:space="preserve">de acordo com a concentração </w:t>
      </w:r>
      <w:r w:rsidR="00586706">
        <w:t>e s</w:t>
      </w:r>
      <w:r w:rsidR="00E37FA8">
        <w:t xml:space="preserve">ua tendência ao longo do tempo. </w:t>
      </w:r>
      <w:r w:rsidR="00DF1EC4">
        <w:t xml:space="preserve">Apesar da Goma Guar ser um </w:t>
      </w:r>
      <w:r w:rsidR="00586706">
        <w:t xml:space="preserve">polímero rígido, </w:t>
      </w:r>
      <w:r w:rsidR="00E37FA8">
        <w:t xml:space="preserve">de </w:t>
      </w:r>
      <w:r w:rsidR="00586706">
        <w:t>degra</w:t>
      </w:r>
      <w:r w:rsidR="00E37FA8">
        <w:t>dação ou desagregação [40]</w:t>
      </w:r>
      <w:r w:rsidR="00E37FA8" w:rsidRPr="00E37FA8">
        <w:t xml:space="preserve"> </w:t>
      </w:r>
      <w:r w:rsidR="00E37FA8">
        <w:t xml:space="preserve">menor, ainda </w:t>
      </w:r>
      <w:r w:rsidR="00586706">
        <w:t>é perceptível</w:t>
      </w:r>
      <w:r w:rsidR="00796B55">
        <w:t xml:space="preserve"> a ocorrência deste </w:t>
      </w:r>
      <w:r w:rsidR="00796B55">
        <w:lastRenderedPageBreak/>
        <w:t>fenômeno na maioria das curva</w:t>
      </w:r>
      <w:r w:rsidR="00DF1EC4">
        <w:t>s até o final dos experimentos</w:t>
      </w:r>
      <w:r w:rsidR="00E04E92">
        <w:t>,</w:t>
      </w:r>
      <w:r w:rsidR="00DF1EC4">
        <w:t xml:space="preserve"> ao contrário do que foi identificado para outros tipos de polímero como a Go</w:t>
      </w:r>
      <w:r w:rsidR="00E04E92">
        <w:t xml:space="preserve">ma Xantana em [36, 40], onde </w:t>
      </w:r>
      <w:r w:rsidR="00DF1EC4">
        <w:t xml:space="preserve">se atingia um </w:t>
      </w:r>
      <m:oMath>
        <m:r>
          <w:rPr>
            <w:rFonts w:ascii="Cambria Math" w:hAnsi="Cambria Math"/>
          </w:rPr>
          <m:t>DR%</m:t>
        </m:r>
      </m:oMath>
      <w:r w:rsidR="00DF1EC4">
        <w:t xml:space="preserve"> mínimo após um determinado tempo de experimento. Por ainda haver potencial de redução de arraste em todas as soluç</w:t>
      </w:r>
      <w:r w:rsidR="00D6626D">
        <w:t>ões ensaiadas, é</w:t>
      </w:r>
      <w:r w:rsidR="00DF1EC4">
        <w:t xml:space="preserve"> possível que </w:t>
      </w:r>
      <w:r w:rsidR="00D6626D">
        <w:t xml:space="preserve">o tempo necessário para que </w:t>
      </w:r>
      <w:r w:rsidR="00D6626D" w:rsidRPr="00D6626D">
        <w:t>o</w:t>
      </w:r>
      <w:r w:rsidR="00D6626D">
        <w:t xml:space="preserve"> </w:t>
      </w:r>
      <m:oMath>
        <m:r>
          <w:rPr>
            <w:rFonts w:ascii="Cambria Math" w:hAnsi="Cambria Math"/>
          </w:rPr>
          <m:t>DR%</m:t>
        </m:r>
      </m:oMath>
      <w:r w:rsidR="00D6626D">
        <w:rPr>
          <w:rFonts w:eastAsiaTheme="minorEastAsia"/>
        </w:rPr>
        <w:t xml:space="preserve"> atinja um patamar mínimo seja maior que o tempo de ensaio. Esta tese é reforçada pelo comportamento da solução de maior concentração que escoa em menor </w:t>
      </w:r>
      <m:oMath>
        <m:r>
          <w:rPr>
            <w:rFonts w:ascii="Cambria Math" w:eastAsiaTheme="minorEastAsia" w:hAnsi="Cambria Math"/>
          </w:rPr>
          <m:t>Re</m:t>
        </m:r>
      </m:oMath>
      <w:r w:rsidR="00D6626D">
        <w:rPr>
          <w:rFonts w:eastAsiaTheme="minorEastAsia"/>
        </w:rPr>
        <w:t>, pois enquanto</w:t>
      </w:r>
      <w:r w:rsidR="00953BBC">
        <w:t xml:space="preserve"> as soluções de </w:t>
      </w:r>
      <m:oMath>
        <m:r>
          <w:rPr>
            <w:rFonts w:ascii="Cambria Math" w:hAnsi="Cambria Math"/>
          </w:rPr>
          <m:t>50 ppm</m:t>
        </m:r>
      </m:oMath>
      <w:r w:rsidR="00FC046C">
        <w:rPr>
          <w:rFonts w:eastAsiaTheme="minorEastAsia"/>
        </w:rPr>
        <w:t xml:space="preserve"> </w:t>
      </w:r>
      <w:r w:rsidR="00953BBC">
        <w:t xml:space="preserve">e </w:t>
      </w:r>
      <m:oMath>
        <m:r>
          <w:rPr>
            <w:rFonts w:ascii="Cambria Math" w:hAnsi="Cambria Math"/>
          </w:rPr>
          <m:t>100 ppm</m:t>
        </m:r>
      </m:oMath>
      <w:r w:rsidR="00953BBC">
        <w:t xml:space="preserve"> </w:t>
      </w:r>
      <w:r w:rsidR="00E37FA8">
        <w:t>apresentam uma leve tendência de</w:t>
      </w:r>
      <w:r w:rsidR="00953BBC">
        <w:t xml:space="preserve"> perda do </w:t>
      </w:r>
      <w:r w:rsidR="00FC046C">
        <w:t>potencial de redução</w:t>
      </w:r>
      <w:r w:rsidR="00D6626D">
        <w:t xml:space="preserve"> de arraste, </w:t>
      </w:r>
      <w:r w:rsidR="00953BBC">
        <w:t xml:space="preserve">a solução de </w:t>
      </w:r>
      <m:oMath>
        <m:r>
          <w:rPr>
            <w:rFonts w:ascii="Cambria Math" w:hAnsi="Cambria Math"/>
          </w:rPr>
          <m:t>200 ppm</m:t>
        </m:r>
      </m:oMath>
      <w:r w:rsidR="00953BBC">
        <w:t xml:space="preserve"> aparenta estável durante todo o tempo de execução do teste</w:t>
      </w:r>
      <w:r w:rsidR="00D6626D">
        <w:t>, o que pode indicar que nestes parâmetros (</w:t>
      </w:r>
      <m:oMath>
        <m:r>
          <w:rPr>
            <w:rFonts w:ascii="Cambria Math" w:hAnsi="Cambria Math"/>
          </w:rPr>
          <m:t>C; Re</m:t>
        </m:r>
      </m:oMath>
      <w:r w:rsidR="00D6626D">
        <w:t xml:space="preserve">) a solução já esteja em um </w:t>
      </w:r>
      <m:oMath>
        <m:r>
          <w:rPr>
            <w:rFonts w:ascii="Cambria Math" w:hAnsi="Cambria Math"/>
          </w:rPr>
          <m:t>DR%</m:t>
        </m:r>
      </m:oMath>
      <w:r w:rsidR="00D6626D">
        <w:t xml:space="preserve"> assintótico</w:t>
      </w:r>
      <w:r w:rsidR="00953BBC">
        <w:t>.</w:t>
      </w:r>
    </w:p>
    <w:p w:rsidR="00CE1A37" w:rsidRPr="00DF5C94" w:rsidRDefault="00CE1A37" w:rsidP="00CE1A37">
      <w:r w:rsidRPr="00BA574B">
        <w:t xml:space="preserve">Com relação a variação das curvas de mesma concentração a </w:t>
      </w:r>
      <m:oMath>
        <m:r>
          <w:rPr>
            <w:rFonts w:ascii="Cambria Math" w:hAnsi="Cambria Math"/>
          </w:rPr>
          <m:t>Re</m:t>
        </m:r>
      </m:oMath>
      <w:r w:rsidRPr="00BA574B">
        <w:t xml:space="preserve"> diferentes, os resultados de </w:t>
      </w:r>
      <m:oMath>
        <m:r>
          <w:rPr>
            <w:rFonts w:ascii="Cambria Math" w:hAnsi="Cambria Math"/>
          </w:rPr>
          <m:t>DR%</m:t>
        </m:r>
      </m:oMath>
      <w:r w:rsidRPr="00BA574B">
        <w:t xml:space="preserve"> demonstram que inicialmente as soluções que escoam com maior vazão possuem maior eficiência na redução de arraste (</w:t>
      </w:r>
      <w:r w:rsidR="00BA574B" w:rsidRPr="00BA574B">
        <w:t>veja as</w:t>
      </w:r>
      <w:r w:rsidR="00BA574B">
        <w:t xml:space="preserve"> reduções iniciais nas</w:t>
      </w:r>
      <w:r w:rsidR="00BA574B" w:rsidRPr="00BA574B">
        <w:t xml:space="preserve"> Figuras 1</w:t>
      </w:r>
      <w:r w:rsidR="00260E6B">
        <w:t>7</w:t>
      </w:r>
      <w:r w:rsidR="00BA574B" w:rsidRPr="00BA574B">
        <w:t xml:space="preserve"> e 1</w:t>
      </w:r>
      <w:r w:rsidR="00260E6B">
        <w:t>8</w:t>
      </w:r>
      <w:r w:rsidR="00BA574B" w:rsidRPr="00BA574B">
        <w:t>).</w:t>
      </w:r>
      <w:r w:rsidR="00DF5C94">
        <w:t xml:space="preserve"> </w:t>
      </w:r>
      <w:r w:rsidRPr="00DF5C94">
        <w:t>Todavia, este resultado não é</w:t>
      </w:r>
      <w:r w:rsidR="00E04E92">
        <w:t xml:space="preserve"> percebido</w:t>
      </w:r>
      <w:r w:rsidRPr="00DF5C94">
        <w:t xml:space="preserve"> ao longo de todo o experimento. Observa-se </w:t>
      </w:r>
      <w:r w:rsidR="00E04E92">
        <w:t>na curva</w:t>
      </w:r>
      <w:r w:rsidR="00DF5C94">
        <w:t xml:space="preserve"> de </w:t>
      </w:r>
      <m:oMath>
        <m:r>
          <w:rPr>
            <w:rFonts w:ascii="Cambria Math" w:hAnsi="Cambria Math"/>
          </w:rPr>
          <m:t>200 ppm</m:t>
        </m:r>
      </m:oMath>
      <w:r w:rsidR="00DF5C94">
        <w:rPr>
          <w:rFonts w:eastAsiaTheme="minorEastAsia"/>
        </w:rPr>
        <w:t>, por exemplo,</w:t>
      </w:r>
      <w:r w:rsidR="00DF5C94">
        <w:t xml:space="preserve"> </w:t>
      </w:r>
      <w:r w:rsidRPr="00DF5C94">
        <w:t xml:space="preserve">que </w:t>
      </w:r>
      <w:r w:rsidR="00DF5C94">
        <w:t xml:space="preserve">a solução que </w:t>
      </w:r>
      <w:r w:rsidR="00DF5C94" w:rsidRPr="0026498E">
        <w:t xml:space="preserve">escoa a </w:t>
      </w:r>
      <m:oMath>
        <m:r>
          <w:rPr>
            <w:rFonts w:ascii="Cambria Math" w:hAnsi="Cambria Math"/>
          </w:rPr>
          <m:t>Re = 68000</m:t>
        </m:r>
      </m:oMath>
      <w:r w:rsidRPr="0026498E">
        <w:t xml:space="preserve"> apresenta </w:t>
      </w:r>
      <w:r w:rsidR="00DF5C94" w:rsidRPr="0026498E">
        <w:t xml:space="preserve">um </w:t>
      </w:r>
      <m:oMath>
        <m:r>
          <w:rPr>
            <w:rFonts w:ascii="Cambria Math" w:hAnsi="Cambria Math"/>
          </w:rPr>
          <m:t>DR</m:t>
        </m:r>
        <m:r>
          <m:rPr>
            <m:sty m:val="p"/>
          </m:rPr>
          <w:rPr>
            <w:rFonts w:ascii="Cambria Math" w:hAnsi="Cambria Math"/>
          </w:rPr>
          <m:t>% =32,6%</m:t>
        </m:r>
      </m:oMath>
      <w:r w:rsidR="00DF5C94" w:rsidRPr="0026498E">
        <w:rPr>
          <w:rFonts w:eastAsiaTheme="minorEastAsia"/>
        </w:rPr>
        <w:t xml:space="preserve"> inicial</w:t>
      </w:r>
      <w:r w:rsidRPr="0026498E">
        <w:rPr>
          <w:rFonts w:eastAsiaTheme="minorEastAsia"/>
        </w:rPr>
        <w:t>, enquanto a solução de</w:t>
      </w:r>
      <w:r w:rsidRPr="00DF5C94">
        <w:rPr>
          <w:rFonts w:eastAsiaTheme="minorEastAsia"/>
        </w:rPr>
        <w:t xml:space="preserve"> </w:t>
      </w:r>
      <m:oMath>
        <m:r>
          <w:rPr>
            <w:rFonts w:ascii="Cambria Math" w:eastAsiaTheme="minorEastAsia" w:hAnsi="Cambria Math"/>
          </w:rPr>
          <m:t>Re=34000</m:t>
        </m:r>
      </m:oMath>
      <w:r w:rsidRPr="0026498E">
        <w:rPr>
          <w:rFonts w:eastAsiaTheme="minorEastAsia"/>
        </w:rPr>
        <w:t xml:space="preserve"> apresenta </w:t>
      </w:r>
      <m:oMath>
        <m:r>
          <w:rPr>
            <w:rFonts w:ascii="Cambria Math" w:hAnsi="Cambria Math"/>
          </w:rPr>
          <m:t>DR</m:t>
        </m:r>
        <m:r>
          <m:rPr>
            <m:sty m:val="p"/>
          </m:rPr>
          <w:rPr>
            <w:rFonts w:ascii="Cambria Math" w:hAnsi="Cambria Math"/>
          </w:rPr>
          <m:t>%=27,8%</m:t>
        </m:r>
      </m:oMath>
      <w:r w:rsidR="00DF5C94" w:rsidRPr="0026498E">
        <w:rPr>
          <w:rFonts w:eastAsiaTheme="minorEastAsia"/>
        </w:rPr>
        <w:t xml:space="preserve"> no mesmo instante</w:t>
      </w:r>
      <w:r w:rsidRPr="0026498E">
        <w:rPr>
          <w:rFonts w:eastAsiaTheme="minorEastAsia"/>
        </w:rPr>
        <w:t xml:space="preserve">. Após </w:t>
      </w:r>
      <w:r w:rsidR="00DF5C94" w:rsidRPr="0026498E">
        <w:rPr>
          <w:rFonts w:eastAsiaTheme="minorEastAsia"/>
        </w:rPr>
        <w:t xml:space="preserve">cerca de </w:t>
      </w:r>
      <w:r w:rsidRPr="0026498E">
        <w:rPr>
          <w:rFonts w:eastAsiaTheme="minorEastAsia"/>
        </w:rPr>
        <w:t>30 minutos, o</w:t>
      </w:r>
      <w:r w:rsidRPr="00DF5C94">
        <w:rPr>
          <w:rFonts w:eastAsiaTheme="minorEastAsia"/>
        </w:rPr>
        <w:t xml:space="preserve"> </w:t>
      </w:r>
      <m:oMath>
        <m:r>
          <w:rPr>
            <w:rFonts w:ascii="Cambria Math" w:eastAsiaTheme="minorEastAsia" w:hAnsi="Cambria Math"/>
          </w:rPr>
          <m:t>DR%</m:t>
        </m:r>
      </m:oMath>
      <w:r w:rsidRPr="00DF5C94">
        <w:rPr>
          <w:rFonts w:eastAsiaTheme="minorEastAsia"/>
        </w:rPr>
        <w:t xml:space="preserve"> se iguala e</w:t>
      </w:r>
      <w:r w:rsidR="00DF5C94">
        <w:rPr>
          <w:rFonts w:eastAsiaTheme="minorEastAsia"/>
        </w:rPr>
        <w:t xml:space="preserve"> posteriormente a curva de menor </w:t>
      </w:r>
      <m:oMath>
        <m:r>
          <w:rPr>
            <w:rFonts w:ascii="Cambria Math" w:eastAsiaTheme="minorEastAsia" w:hAnsi="Cambria Math"/>
          </w:rPr>
          <m:t>Re</m:t>
        </m:r>
      </m:oMath>
      <w:r w:rsidR="00DF5C94">
        <w:rPr>
          <w:rFonts w:eastAsiaTheme="minorEastAsia"/>
        </w:rPr>
        <w:t xml:space="preserve"> </w:t>
      </w:r>
      <w:r w:rsidRPr="00DF5C94">
        <w:rPr>
          <w:rFonts w:eastAsiaTheme="minorEastAsia"/>
        </w:rPr>
        <w:t xml:space="preserve">passa a apresentar melhor redução de arraste. Isto ocorre devido a degradação/desagregação do polímero, </w:t>
      </w:r>
      <w:r w:rsidR="00DF5C94">
        <w:rPr>
          <w:rFonts w:eastAsiaTheme="minorEastAsia"/>
        </w:rPr>
        <w:t xml:space="preserve">que é acelerada com o aumento de </w:t>
      </w:r>
      <m:oMath>
        <m:r>
          <w:rPr>
            <w:rFonts w:ascii="Cambria Math" w:eastAsiaTheme="minorEastAsia" w:hAnsi="Cambria Math"/>
          </w:rPr>
          <m:t>Re</m:t>
        </m:r>
      </m:oMath>
      <w:r w:rsidR="002165F9">
        <w:rPr>
          <w:rFonts w:eastAsiaTheme="minorEastAsia"/>
        </w:rPr>
        <w:t xml:space="preserve"> e intensificada sob o efeito da bomba centrífuga no escoamento</w:t>
      </w:r>
      <w:r w:rsidRPr="00DF5C94">
        <w:rPr>
          <w:rFonts w:eastAsiaTheme="minorEastAsia"/>
        </w:rPr>
        <w:t>.</w:t>
      </w:r>
      <w:r w:rsidR="00077257">
        <w:rPr>
          <w:rFonts w:eastAsiaTheme="minorEastAsia"/>
        </w:rPr>
        <w:t xml:space="preserve"> Para entender o </w:t>
      </w:r>
      <w:r w:rsidR="002165F9">
        <w:rPr>
          <w:rFonts w:eastAsiaTheme="minorEastAsia"/>
        </w:rPr>
        <w:t>efeito</w:t>
      </w:r>
      <w:r w:rsidR="00077257">
        <w:rPr>
          <w:rFonts w:eastAsiaTheme="minorEastAsia"/>
        </w:rPr>
        <w:t xml:space="preserve"> deste equipamento nas soluções de concentrações diferentes,</w:t>
      </w:r>
      <w:r w:rsidR="002165F9">
        <w:rPr>
          <w:rFonts w:eastAsiaTheme="minorEastAsia"/>
        </w:rPr>
        <w:t xml:space="preserve"> [36] </w:t>
      </w:r>
      <w:r w:rsidR="00077257">
        <w:rPr>
          <w:rFonts w:eastAsiaTheme="minorEastAsia"/>
        </w:rPr>
        <w:t>descreveu um mecanismo de guilhotina que, neste caso, pode ser entendido da seguinte forma: uma mesma concentração com Reynolds diferentes em uma planta de recirculação implica em mudanças na degradação, pois quanto maior o número de Reynolds, mais vezes o fluido passará pelo mecanismo de guilhotina (bomba), fazendo com que a degradação ocorra de forma mais intensa para um mesmo tempo de experimento. Estes resultados podem ser melhor visualizados na curva de potência ativa, quando normalizadas e comparadas,</w:t>
      </w:r>
      <w:r w:rsidR="000211AE">
        <w:rPr>
          <w:rFonts w:eastAsiaTheme="minorEastAsia"/>
        </w:rPr>
        <w:t xml:space="preserve"> como mostram as Figuras </w:t>
      </w:r>
      <w:r w:rsidR="00260E6B">
        <w:rPr>
          <w:rFonts w:eastAsiaTheme="minorEastAsia"/>
        </w:rPr>
        <w:t>21 e 22</w:t>
      </w:r>
      <w:r w:rsidR="00077257">
        <w:rPr>
          <w:rFonts w:eastAsiaTheme="minorEastAsia"/>
        </w:rPr>
        <w:t>.</w:t>
      </w:r>
    </w:p>
    <w:p w:rsidR="00077257" w:rsidRDefault="00077257" w:rsidP="001F4796">
      <w:pPr>
        <w:pStyle w:val="Nvel3-PG"/>
      </w:pPr>
    </w:p>
    <w:p w:rsidR="00B61121" w:rsidRDefault="00B61121" w:rsidP="00B61121">
      <w:pPr>
        <w:pStyle w:val="Nvel3-PG"/>
        <w:tabs>
          <w:tab w:val="left" w:pos="5774"/>
        </w:tabs>
      </w:pPr>
      <w:bookmarkStart w:id="132" w:name="_Toc488678373"/>
      <w:r w:rsidRPr="00952F5B">
        <w:t>4.2</w:t>
      </w:r>
      <w:r>
        <w:t>.2</w:t>
      </w:r>
      <w:r w:rsidRPr="00952F5B">
        <w:t xml:space="preserve"> </w:t>
      </w:r>
      <w:r>
        <w:t>Efeito das soluções na potência ativa consumida</w:t>
      </w:r>
      <w:bookmarkEnd w:id="132"/>
    </w:p>
    <w:p w:rsidR="00A017BA" w:rsidRDefault="00F77F0D" w:rsidP="00D73A44">
      <w:r>
        <w:lastRenderedPageBreak/>
        <w:t xml:space="preserve">As </w:t>
      </w:r>
      <w:r w:rsidR="00D40ECB">
        <w:t>Figuras 19</w:t>
      </w:r>
      <w:r>
        <w:t xml:space="preserve"> e </w:t>
      </w:r>
      <w:r w:rsidR="00D40ECB">
        <w:t xml:space="preserve">20 </w:t>
      </w:r>
      <w:r>
        <w:t>expressa</w:t>
      </w:r>
      <w:r w:rsidR="002E3D81">
        <w:t>m</w:t>
      </w:r>
      <w:r>
        <w:t xml:space="preserve">, graficamente, os dados de potência </w:t>
      </w:r>
      <w:r w:rsidR="00D73A44">
        <w:t xml:space="preserve">ativa </w:t>
      </w:r>
      <w:r>
        <w:t xml:space="preserve">normalizada ao longo do tempo. A potência normalizada </w:t>
      </w:r>
      <w:r w:rsidR="00872B07">
        <w:t>é um parâmetro utilizado para se comparar o desempenho de testes com escoamento</w:t>
      </w:r>
      <w:r w:rsidR="00077257">
        <w:t>s</w:t>
      </w:r>
      <w:r w:rsidR="00872B07">
        <w:t xml:space="preserve"> distintos</w:t>
      </w:r>
      <w:r w:rsidR="000211AE">
        <w:t xml:space="preserve"> em que não é possível se realizar uma análise direta dos resultados, devido </w:t>
      </w:r>
      <w:r w:rsidR="00D73A44">
        <w:t xml:space="preserve">a </w:t>
      </w:r>
      <w:r w:rsidR="000211AE">
        <w:t xml:space="preserve">diferença na </w:t>
      </w:r>
      <w:r w:rsidR="00D73A44">
        <w:t xml:space="preserve">magnitude da potência consumida. O cálculo da potência ativa normalizada </w:t>
      </w:r>
      <w:r>
        <w:t xml:space="preserve">consiste </w:t>
      </w:r>
      <w:r w:rsidR="00D73A44">
        <w:t xml:space="preserve">na </w:t>
      </w:r>
      <w:r w:rsidR="000211AE">
        <w:t>razão entre a</w:t>
      </w:r>
      <w:r w:rsidR="00D73A44">
        <w:t xml:space="preserve"> potência ativa instantânea consumida pela solução </w:t>
      </w:r>
      <w:r w:rsidR="000211AE">
        <w:t xml:space="preserve">e a </w:t>
      </w:r>
      <w:r w:rsidR="00872B07">
        <w:t xml:space="preserve">potência </w:t>
      </w:r>
      <w:r w:rsidR="00D73A44">
        <w:t xml:space="preserve">ativa </w:t>
      </w:r>
      <w:r w:rsidR="00872B07">
        <w:t>média consumida pelo solvente puro</w:t>
      </w:r>
      <w:r w:rsidR="00D73A44">
        <w:t>, considerado como 100%</w:t>
      </w:r>
      <w:bookmarkStart w:id="133" w:name="_Ref488266255"/>
      <w:r w:rsidR="00D73A44">
        <w:t>.</w:t>
      </w:r>
    </w:p>
    <w:p w:rsidR="00A738B1" w:rsidRDefault="00A738B1" w:rsidP="00D73A44"/>
    <w:p w:rsidR="0099718A" w:rsidRPr="00E31081" w:rsidRDefault="0099718A" w:rsidP="00515A7B">
      <w:pPr>
        <w:pStyle w:val="Figura-PG"/>
      </w:pPr>
      <w:bookmarkStart w:id="134" w:name="_Toc488706060"/>
      <w:r w:rsidRPr="00E31081">
        <w:t xml:space="preserve">Figura </w:t>
      </w:r>
      <w:fldSimple w:instr=" SEQ Figura \* ARABIC ">
        <w:r w:rsidR="004C240D">
          <w:rPr>
            <w:noProof/>
          </w:rPr>
          <w:t>19</w:t>
        </w:r>
      </w:fldSimple>
      <w:bookmarkEnd w:id="133"/>
      <w:r w:rsidR="005A4095">
        <w:t xml:space="preserve"> -</w:t>
      </w:r>
      <w:r w:rsidR="005A4095" w:rsidRPr="00E31081">
        <w:t xml:space="preserve"> </w:t>
      </w:r>
      <w:r w:rsidRPr="00E31081">
        <w:t xml:space="preserve">Potência normalizada das soluções de Goma Guar para </w:t>
      </w:r>
      <w:r w:rsidR="00D73A44">
        <w:t xml:space="preserve">Re = 34000; </w:t>
      </w:r>
      <w:r w:rsidRPr="00E31081">
        <w:t>Q = 2 m³/h.</w:t>
      </w:r>
      <w:bookmarkEnd w:id="134"/>
    </w:p>
    <w:p w:rsidR="0052222B" w:rsidRDefault="0052222B" w:rsidP="0052222B">
      <w:pPr>
        <w:spacing w:after="0"/>
        <w:jc w:val="center"/>
      </w:pPr>
      <w:r>
        <w:tab/>
      </w:r>
      <w:r w:rsidR="00936B26" w:rsidRPr="00936B26">
        <w:rPr>
          <w:noProof/>
          <w:lang w:eastAsia="pt-BR"/>
        </w:rPr>
        <w:drawing>
          <wp:inline distT="0" distB="0" distL="0" distR="0" wp14:anchorId="286BBC77" wp14:editId="4829E916">
            <wp:extent cx="3936353" cy="3852000"/>
            <wp:effectExtent l="0" t="0" r="7620" b="0"/>
            <wp:docPr id="28" name="Imagem 28" descr="C:\Users\Jhonnilo\Google Drive\PG UFES\Drag Reduction\Testes\Graficos\Export\p gua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honnilo\Google Drive\PG UFES\Drag Reduction\Testes\Graficos\Export\p guar 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36353" cy="3852000"/>
                    </a:xfrm>
                    <a:prstGeom prst="rect">
                      <a:avLst/>
                    </a:prstGeom>
                    <a:noFill/>
                    <a:ln>
                      <a:noFill/>
                    </a:ln>
                  </pic:spPr>
                </pic:pic>
              </a:graphicData>
            </a:graphic>
          </wp:inline>
        </w:drawing>
      </w:r>
      <w:r>
        <w:tab/>
      </w:r>
      <w:r w:rsidR="00936B26">
        <w:tab/>
      </w:r>
      <w:r w:rsidR="00936B26">
        <w:tab/>
      </w:r>
    </w:p>
    <w:p w:rsidR="00515A7B" w:rsidRDefault="00515A7B" w:rsidP="0052222B">
      <w:pPr>
        <w:spacing w:after="0"/>
        <w:jc w:val="center"/>
      </w:pPr>
      <w:r>
        <w:t>Fonte: Autoria própria</w:t>
      </w:r>
    </w:p>
    <w:p w:rsidR="00A738B1" w:rsidRDefault="00A738B1" w:rsidP="00515A7B">
      <w:pPr>
        <w:pStyle w:val="Figura-PG"/>
      </w:pPr>
      <w:bookmarkStart w:id="135" w:name="_Ref488266257"/>
    </w:p>
    <w:p w:rsidR="00A738B1" w:rsidRDefault="00A738B1" w:rsidP="00515A7B">
      <w:pPr>
        <w:pStyle w:val="Figura-PG"/>
      </w:pPr>
    </w:p>
    <w:p w:rsidR="00A738B1" w:rsidRDefault="00A738B1" w:rsidP="00515A7B">
      <w:pPr>
        <w:pStyle w:val="Figura-PG"/>
      </w:pPr>
    </w:p>
    <w:p w:rsidR="00A738B1" w:rsidRDefault="00A738B1" w:rsidP="00515A7B">
      <w:pPr>
        <w:pStyle w:val="Figura-PG"/>
      </w:pPr>
    </w:p>
    <w:p w:rsidR="00A738B1" w:rsidRDefault="00A738B1" w:rsidP="00515A7B">
      <w:pPr>
        <w:pStyle w:val="Figura-PG"/>
      </w:pPr>
    </w:p>
    <w:p w:rsidR="00A738B1" w:rsidRDefault="00A738B1" w:rsidP="00515A7B">
      <w:pPr>
        <w:pStyle w:val="Figura-PG"/>
      </w:pPr>
    </w:p>
    <w:p w:rsidR="00A738B1" w:rsidRDefault="00A738B1" w:rsidP="00515A7B">
      <w:pPr>
        <w:pStyle w:val="Figura-PG"/>
      </w:pPr>
    </w:p>
    <w:p w:rsidR="00A738B1" w:rsidRDefault="00A738B1" w:rsidP="00515A7B">
      <w:pPr>
        <w:pStyle w:val="Figura-PG"/>
      </w:pPr>
    </w:p>
    <w:p w:rsidR="00A738B1" w:rsidRDefault="00A738B1" w:rsidP="00515A7B">
      <w:pPr>
        <w:pStyle w:val="Figura-PG"/>
      </w:pPr>
    </w:p>
    <w:p w:rsidR="00A738B1" w:rsidRDefault="00A738B1" w:rsidP="00515A7B">
      <w:pPr>
        <w:pStyle w:val="Figura-PG"/>
      </w:pPr>
    </w:p>
    <w:p w:rsidR="00A738B1" w:rsidRDefault="00A738B1" w:rsidP="00515A7B">
      <w:pPr>
        <w:pStyle w:val="Figura-PG"/>
      </w:pPr>
    </w:p>
    <w:p w:rsidR="00A738B1" w:rsidRDefault="00A738B1" w:rsidP="00515A7B">
      <w:pPr>
        <w:pStyle w:val="Figura-PG"/>
      </w:pPr>
    </w:p>
    <w:p w:rsidR="00A738B1" w:rsidRDefault="00A738B1" w:rsidP="00515A7B">
      <w:pPr>
        <w:pStyle w:val="Figura-PG"/>
      </w:pPr>
    </w:p>
    <w:p w:rsidR="0099718A" w:rsidRPr="00E31081" w:rsidRDefault="0099718A" w:rsidP="00515A7B">
      <w:pPr>
        <w:pStyle w:val="Figura-PG"/>
      </w:pPr>
      <w:bookmarkStart w:id="136" w:name="_Toc488706061"/>
      <w:r w:rsidRPr="00E31081">
        <w:t xml:space="preserve">Figura </w:t>
      </w:r>
      <w:fldSimple w:instr=" SEQ Figura \* ARABIC ">
        <w:r w:rsidR="004C240D">
          <w:rPr>
            <w:noProof/>
          </w:rPr>
          <w:t>20</w:t>
        </w:r>
      </w:fldSimple>
      <w:bookmarkEnd w:id="135"/>
      <w:r w:rsidR="005A4095">
        <w:t xml:space="preserve"> -</w:t>
      </w:r>
      <w:r w:rsidR="005A4095" w:rsidRPr="00E31081">
        <w:t xml:space="preserve"> </w:t>
      </w:r>
      <w:r w:rsidRPr="00E31081">
        <w:t xml:space="preserve">Potência normalizada das soluções de Goma Guar para </w:t>
      </w:r>
      <w:r w:rsidR="00D73A44">
        <w:t xml:space="preserve">Re = 68000; </w:t>
      </w:r>
      <w:r w:rsidRPr="00E31081">
        <w:t>Q = 4 m³/h.</w:t>
      </w:r>
      <w:bookmarkEnd w:id="136"/>
    </w:p>
    <w:p w:rsidR="002A719D" w:rsidRDefault="00936B26" w:rsidP="00A738B1">
      <w:pPr>
        <w:tabs>
          <w:tab w:val="left" w:pos="6237"/>
        </w:tabs>
        <w:spacing w:after="0" w:line="240" w:lineRule="auto"/>
        <w:jc w:val="center"/>
      </w:pPr>
      <w:r w:rsidRPr="00936B26">
        <w:rPr>
          <w:noProof/>
          <w:lang w:eastAsia="pt-BR"/>
        </w:rPr>
        <w:drawing>
          <wp:inline distT="0" distB="0" distL="0" distR="0" wp14:anchorId="0ADFD241" wp14:editId="4791B23F">
            <wp:extent cx="3936350" cy="3852000"/>
            <wp:effectExtent l="0" t="0" r="7620" b="0"/>
            <wp:docPr id="29" name="Imagem 29" descr="C:\Users\Jhonnilo\Google Drive\PG UFES\Drag Reduction\Testes\Graficos\Export\p guar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honnilo\Google Drive\PG UFES\Drag Reduction\Testes\Graficos\Export\p guar 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36350" cy="3852000"/>
                    </a:xfrm>
                    <a:prstGeom prst="rect">
                      <a:avLst/>
                    </a:prstGeom>
                    <a:noFill/>
                    <a:ln>
                      <a:noFill/>
                    </a:ln>
                  </pic:spPr>
                </pic:pic>
              </a:graphicData>
            </a:graphic>
          </wp:inline>
        </w:drawing>
      </w:r>
      <w:r>
        <w:tab/>
      </w:r>
      <w:r>
        <w:tab/>
      </w:r>
      <w:r w:rsidR="00A738B1">
        <w:tab/>
      </w:r>
    </w:p>
    <w:p w:rsidR="00515A7B" w:rsidRDefault="00515A7B" w:rsidP="00515A7B">
      <w:pPr>
        <w:jc w:val="center"/>
      </w:pPr>
      <w:r>
        <w:t>Fonte: Autoria própria</w:t>
      </w:r>
    </w:p>
    <w:p w:rsidR="00850E98" w:rsidRDefault="00D73A44" w:rsidP="000E0B3F">
      <w:r>
        <w:t>Em ambo</w:t>
      </w:r>
      <w:r w:rsidR="00552EB5">
        <w:t xml:space="preserve">s </w:t>
      </w:r>
      <w:r>
        <w:t xml:space="preserve">os </w:t>
      </w:r>
      <m:oMath>
        <m:r>
          <w:rPr>
            <w:rFonts w:ascii="Cambria Math" w:hAnsi="Cambria Math"/>
          </w:rPr>
          <m:t>Re</m:t>
        </m:r>
      </m:oMath>
      <w:r>
        <w:t xml:space="preserve"> </w:t>
      </w:r>
      <w:r w:rsidR="00552EB5">
        <w:t xml:space="preserve">o aumento de concentração influencia na queda de potência consumida pelas bombas, analogamente ao que foi encontrado para os resultados </w:t>
      </w:r>
      <w:r w:rsidR="004F2D76">
        <w:t xml:space="preserve">de </w:t>
      </w:r>
      <w:r w:rsidR="00552EB5">
        <w:t>redução de arrast</w:t>
      </w:r>
      <w:r w:rsidR="00850E98">
        <w:t>e</w:t>
      </w:r>
      <w:r w:rsidR="00552EB5">
        <w:t xml:space="preserve">. </w:t>
      </w:r>
      <w:r w:rsidR="00850E98">
        <w:t xml:space="preserve">Aqui nota-se que a curva referente à solução de </w:t>
      </w:r>
      <m:oMath>
        <m:r>
          <w:rPr>
            <w:rFonts w:ascii="Cambria Math" w:hAnsi="Cambria Math"/>
          </w:rPr>
          <m:t>100 ppm</m:t>
        </m:r>
      </m:oMath>
      <w:r w:rsidR="00850E98">
        <w:t xml:space="preserve"> em </w:t>
      </w:r>
      <m:oMath>
        <m:r>
          <w:rPr>
            <w:rFonts w:ascii="Cambria Math" w:hAnsi="Cambria Math"/>
          </w:rPr>
          <m:t>Re = 68000</m:t>
        </m:r>
      </m:oMath>
      <w:r w:rsidR="00850E98">
        <w:t xml:space="preserve"> tem um comportamento completamente diferente do </w:t>
      </w:r>
      <w:r w:rsidR="00F001F7">
        <w:t xml:space="preserve">obtido para </w:t>
      </w:r>
      <m:oMath>
        <m:r>
          <w:rPr>
            <w:rFonts w:ascii="Cambria Math" w:hAnsi="Cambria Math"/>
          </w:rPr>
          <m:t>f</m:t>
        </m:r>
      </m:oMath>
      <w:r w:rsidR="00F001F7">
        <w:rPr>
          <w:rFonts w:eastAsiaTheme="minorEastAsia"/>
        </w:rPr>
        <w:t xml:space="preserve"> e </w:t>
      </w:r>
      <m:oMath>
        <m:r>
          <w:rPr>
            <w:rFonts w:ascii="Cambria Math" w:eastAsiaTheme="minorEastAsia" w:hAnsi="Cambria Math"/>
          </w:rPr>
          <m:t>DR%</m:t>
        </m:r>
      </m:oMath>
      <w:r w:rsidR="00F001F7">
        <w:rPr>
          <w:rFonts w:eastAsiaTheme="minorEastAsia"/>
        </w:rPr>
        <w:t xml:space="preserve">, o </w:t>
      </w:r>
      <w:r w:rsidR="00CB55B1">
        <w:rPr>
          <w:rFonts w:eastAsiaTheme="minorEastAsia"/>
        </w:rPr>
        <w:t>que confirma a inconsistência de</w:t>
      </w:r>
      <w:r w:rsidR="00F001F7">
        <w:rPr>
          <w:rFonts w:eastAsiaTheme="minorEastAsia"/>
        </w:rPr>
        <w:t>s</w:t>
      </w:r>
      <w:r w:rsidR="00CB55B1">
        <w:rPr>
          <w:rFonts w:eastAsiaTheme="minorEastAsia"/>
        </w:rPr>
        <w:t>tes</w:t>
      </w:r>
      <w:r w:rsidR="00F001F7">
        <w:rPr>
          <w:rFonts w:eastAsiaTheme="minorEastAsia"/>
        </w:rPr>
        <w:t xml:space="preserve"> dados para esta solução.</w:t>
      </w:r>
    </w:p>
    <w:p w:rsidR="001F4796" w:rsidRDefault="00F001F7" w:rsidP="00B61121">
      <w:r>
        <w:t>A</w:t>
      </w:r>
      <w:r w:rsidR="002E6FDC">
        <w:t xml:space="preserve"> </w:t>
      </w:r>
      <w:r>
        <w:t xml:space="preserve">diferença entre as </w:t>
      </w:r>
      <w:r w:rsidR="002E6FDC">
        <w:t>potência</w:t>
      </w:r>
      <w:r>
        <w:t xml:space="preserve">s normalizadas nas curvas de concentração </w:t>
      </w:r>
      <w:r w:rsidR="00A767BE">
        <w:t>d</w:t>
      </w:r>
      <w:r w:rsidR="00FF59B0">
        <w:t>a Figura 20</w:t>
      </w:r>
      <w:r>
        <w:t xml:space="preserve"> indicam que </w:t>
      </w:r>
      <w:r w:rsidR="00A767BE">
        <w:t>o aumento da concentração não</w:t>
      </w:r>
      <w:r w:rsidR="002E6FDC">
        <w:t xml:space="preserve"> </w:t>
      </w:r>
      <w:r w:rsidR="00A767BE">
        <w:t>implica em uma diminuição proporcional da potência consumida</w:t>
      </w:r>
      <w:r w:rsidR="00155C0A">
        <w:t>, isto pode ser visto também nas curvas para Goma Guar</w:t>
      </w:r>
      <w:r w:rsidR="00A0628D">
        <w:t xml:space="preserve"> presentes na Figura 9 de Abdulbar</w:t>
      </w:r>
      <w:r w:rsidR="00155C0A">
        <w:t>i</w:t>
      </w:r>
      <w:r w:rsidR="00A0628D">
        <w:t xml:space="preserve"> [46]</w:t>
      </w:r>
      <w:r w:rsidR="002E6FDC">
        <w:t>.</w:t>
      </w:r>
      <w:r w:rsidR="00A767BE">
        <w:t xml:space="preserve"> </w:t>
      </w:r>
      <w:r w:rsidR="002E6FDC">
        <w:t xml:space="preserve">As curvas </w:t>
      </w:r>
      <w:r>
        <w:t xml:space="preserve">aparentam tender a um consumo de potência assintótico e menor que 100% </w:t>
      </w:r>
      <w:r w:rsidR="002E6FDC">
        <w:t xml:space="preserve">ao fim do experimento, demonstrando que </w:t>
      </w:r>
      <w:r>
        <w:t xml:space="preserve">é possível que </w:t>
      </w:r>
      <w:r w:rsidR="002E6FDC">
        <w:t xml:space="preserve">a degradação </w:t>
      </w:r>
      <w:r>
        <w:t xml:space="preserve">ou desagregação </w:t>
      </w:r>
      <w:r w:rsidR="002E6FDC">
        <w:t xml:space="preserve">polimérica </w:t>
      </w:r>
      <w:r>
        <w:t>cesse</w:t>
      </w:r>
      <w:r w:rsidR="002E6FDC">
        <w:t xml:space="preserve"> após certo tempo.</w:t>
      </w:r>
      <w:r w:rsidR="00B2521E">
        <w:t xml:space="preserve"> Esta característica indica que o uso da goma guar pode ser uma boa alternativa para as aplicaç</w:t>
      </w:r>
      <w:r w:rsidR="009405E1">
        <w:t>ões em plantas de recirculação.</w:t>
      </w:r>
    </w:p>
    <w:p w:rsidR="0052222B" w:rsidRDefault="00B61121" w:rsidP="00B61121">
      <w:r>
        <w:t xml:space="preserve">Comparando-se os resultados de mesma concentração, </w:t>
      </w:r>
      <w:r w:rsidR="0052222B">
        <w:t>observa-se</w:t>
      </w:r>
      <w:r>
        <w:t xml:space="preserve"> por meio da </w:t>
      </w:r>
      <w:r w:rsidR="0017656F">
        <w:t>Figura 21</w:t>
      </w:r>
      <w:r w:rsidR="00186A98">
        <w:t xml:space="preserve"> que há uma</w:t>
      </w:r>
      <w:r w:rsidR="0052222B">
        <w:t xml:space="preserve"> inversão da curva</w:t>
      </w:r>
      <w:r>
        <w:t xml:space="preserve"> em </w:t>
      </w:r>
      <m:oMath>
        <m:r>
          <w:rPr>
            <w:rFonts w:ascii="Cambria Math" w:hAnsi="Cambria Math"/>
          </w:rPr>
          <m:t>t ≈ 40 min</m:t>
        </m:r>
      </m:oMath>
      <w:r w:rsidR="0017656F">
        <w:rPr>
          <w:rFonts w:eastAsiaTheme="minorEastAsia"/>
        </w:rPr>
        <w:t>,</w:t>
      </w:r>
      <w:r>
        <w:t xml:space="preserve"> indica</w:t>
      </w:r>
      <w:r w:rsidR="0017656F">
        <w:t>ndo</w:t>
      </w:r>
      <w:r>
        <w:t xml:space="preserve"> que a economia </w:t>
      </w:r>
      <w:r>
        <w:lastRenderedPageBreak/>
        <w:t xml:space="preserve">de potência percentual promovida pela solução de menor </w:t>
      </w:r>
      <m:oMath>
        <m:r>
          <w:rPr>
            <w:rFonts w:ascii="Cambria Math" w:hAnsi="Cambria Math"/>
          </w:rPr>
          <m:t>Re</m:t>
        </m:r>
      </m:oMath>
      <w:r w:rsidR="0052222B">
        <w:rPr>
          <w:rFonts w:eastAsiaTheme="minorEastAsia"/>
        </w:rPr>
        <w:t xml:space="preserve"> </w:t>
      </w:r>
      <w:r>
        <w:t>se torna maior do que para a solução de maior</w:t>
      </w:r>
      <w:r w:rsidR="0052222B">
        <w:t xml:space="preserve"> </w:t>
      </w:r>
      <m:oMath>
        <m:r>
          <w:rPr>
            <w:rFonts w:ascii="Cambria Math" w:hAnsi="Cambria Math"/>
          </w:rPr>
          <m:t>Re</m:t>
        </m:r>
      </m:oMath>
      <w:r w:rsidR="0052222B">
        <w:rPr>
          <w:rFonts w:eastAsiaTheme="minorEastAsia"/>
        </w:rPr>
        <w:t xml:space="preserve">. O mesmo é observado para a curva de </w:t>
      </w:r>
      <m:oMath>
        <m:r>
          <w:rPr>
            <w:rFonts w:ascii="Cambria Math" w:eastAsiaTheme="minorEastAsia" w:hAnsi="Cambria Math"/>
          </w:rPr>
          <m:t>100 ppm</m:t>
        </m:r>
      </m:oMath>
      <w:r w:rsidR="00186A98">
        <w:rPr>
          <w:rFonts w:eastAsiaTheme="minorEastAsia"/>
        </w:rPr>
        <w:t>, não exbida</w:t>
      </w:r>
      <w:r w:rsidR="0052222B">
        <w:rPr>
          <w:rFonts w:eastAsiaTheme="minorEastAsia"/>
        </w:rPr>
        <w:t xml:space="preserve"> devido </w:t>
      </w:r>
      <w:r w:rsidR="00186A98">
        <w:rPr>
          <w:rFonts w:eastAsiaTheme="minorEastAsia"/>
        </w:rPr>
        <w:t>ao seu comportamento similar à</w:t>
      </w:r>
      <w:r w:rsidR="0052222B">
        <w:rPr>
          <w:rFonts w:eastAsiaTheme="minorEastAsia"/>
        </w:rPr>
        <w:t xml:space="preserve"> curva de </w:t>
      </w:r>
      <m:oMath>
        <m:r>
          <w:rPr>
            <w:rFonts w:ascii="Cambria Math" w:eastAsiaTheme="minorEastAsia" w:hAnsi="Cambria Math"/>
          </w:rPr>
          <m:t>50 ppm</m:t>
        </m:r>
      </m:oMath>
      <w:r w:rsidR="0017656F">
        <w:rPr>
          <w:rFonts w:eastAsiaTheme="minorEastAsia"/>
        </w:rPr>
        <w:t xml:space="preserve"> da Figura 21</w:t>
      </w:r>
      <w:r w:rsidR="0052222B">
        <w:t xml:space="preserve">. Para a curva de </w:t>
      </w:r>
      <m:oMath>
        <m:r>
          <w:rPr>
            <w:rFonts w:ascii="Cambria Math" w:hAnsi="Cambria Math"/>
          </w:rPr>
          <m:t>200 ppm</m:t>
        </m:r>
      </m:oMath>
      <w:r w:rsidR="00186A98">
        <w:rPr>
          <w:rFonts w:eastAsiaTheme="minorEastAsia"/>
        </w:rPr>
        <w:t xml:space="preserve"> </w:t>
      </w:r>
      <w:r w:rsidR="0052222B">
        <w:rPr>
          <w:rFonts w:eastAsiaTheme="minorEastAsia"/>
        </w:rPr>
        <w:t xml:space="preserve">é esperado que o mesmo </w:t>
      </w:r>
      <w:r w:rsidR="00186A98">
        <w:rPr>
          <w:rFonts w:eastAsiaTheme="minorEastAsia"/>
        </w:rPr>
        <w:t xml:space="preserve">fenômeno </w:t>
      </w:r>
      <w:r w:rsidR="0052222B">
        <w:rPr>
          <w:rFonts w:eastAsiaTheme="minorEastAsia"/>
        </w:rPr>
        <w:t>ocorra, porém em um tempo mais longo do que o que foi</w:t>
      </w:r>
      <w:r w:rsidR="00796B02">
        <w:rPr>
          <w:rFonts w:eastAsiaTheme="minorEastAsia"/>
        </w:rPr>
        <w:t xml:space="preserve"> determina</w:t>
      </w:r>
      <w:r w:rsidR="0017656F">
        <w:rPr>
          <w:rFonts w:eastAsiaTheme="minorEastAsia"/>
        </w:rPr>
        <w:t>do para o experimento (Figura 22</w:t>
      </w:r>
      <w:r w:rsidR="00796B02">
        <w:rPr>
          <w:rFonts w:eastAsiaTheme="minorEastAsia"/>
        </w:rPr>
        <w:t>).</w:t>
      </w:r>
      <w:r w:rsidR="0052222B">
        <w:rPr>
          <w:rFonts w:eastAsiaTheme="minorEastAsia"/>
        </w:rPr>
        <w:t xml:space="preserve"> </w:t>
      </w:r>
    </w:p>
    <w:p w:rsidR="00B61121" w:rsidRDefault="00B61121" w:rsidP="00B61121">
      <w:r w:rsidRPr="00731E0E">
        <w:t>Isso ocorre devido ao efeito do número de Reynolds no escoamento</w:t>
      </w:r>
      <w:r w:rsidR="0052222B" w:rsidRPr="00731E0E">
        <w:t xml:space="preserve"> promovido por bombeamento centrífugo, que quando aumentado </w:t>
      </w:r>
      <w:r w:rsidRPr="00731E0E">
        <w:t>intensifica a degradação ao longo do tempo</w:t>
      </w:r>
      <w:r w:rsidR="0052222B" w:rsidRPr="00731E0E">
        <w:t>, conforme discutido no item 4.2.1</w:t>
      </w:r>
      <w:r w:rsidRPr="00731E0E">
        <w:t xml:space="preserve">. Apesar do percentual de potência demandada se inverter, vale ressaltar que o módulo da potência consumida é maior para o experimento a </w:t>
      </w:r>
      <m:oMath>
        <m:r>
          <w:rPr>
            <w:rFonts w:ascii="Cambria Math" w:hAnsi="Cambria Math"/>
          </w:rPr>
          <m:t>Re=68000</m:t>
        </m:r>
      </m:oMath>
      <w:r w:rsidR="00731E0E" w:rsidRPr="00731E0E">
        <w:rPr>
          <w:rFonts w:eastAsiaTheme="minorEastAsia"/>
        </w:rPr>
        <w:t>, resultando em uma maior economia de potência para um mesmo intervalo de tempo</w:t>
      </w:r>
      <w:r w:rsidR="00731E0E" w:rsidRPr="00731E0E">
        <w:t>. Isto pode ser observado por meio da</w:t>
      </w:r>
      <w:r w:rsidRPr="00731E0E">
        <w:t xml:space="preserve"> </w:t>
      </w:r>
      <w:r w:rsidRPr="00731E0E">
        <w:fldChar w:fldCharType="begin"/>
      </w:r>
      <w:r w:rsidRPr="00731E0E">
        <w:instrText xml:space="preserve"> REF _Ref488112512 \h  \* MERGEFORMAT </w:instrText>
      </w:r>
      <w:r w:rsidRPr="00731E0E">
        <w:fldChar w:fldCharType="separate"/>
      </w:r>
      <w:r w:rsidRPr="00731E0E">
        <w:t xml:space="preserve">Tabela </w:t>
      </w:r>
      <w:r w:rsidRPr="00731E0E">
        <w:rPr>
          <w:noProof/>
        </w:rPr>
        <w:t>4</w:t>
      </w:r>
      <w:r w:rsidRPr="00731E0E">
        <w:fldChar w:fldCharType="end"/>
      </w:r>
      <w:r w:rsidR="00731E0E" w:rsidRPr="00731E0E">
        <w:t>, que</w:t>
      </w:r>
      <w:r>
        <w:rPr>
          <w:color w:val="FF0000"/>
        </w:rPr>
        <w:t xml:space="preserve"> </w:t>
      </w:r>
      <w:r>
        <w:t>exibe os valores de potência para cada teste.</w:t>
      </w:r>
    </w:p>
    <w:p w:rsidR="0052222B" w:rsidRPr="00E31081" w:rsidRDefault="0052222B" w:rsidP="0052222B">
      <w:pPr>
        <w:pStyle w:val="Tabela-PG"/>
      </w:pPr>
      <w:bookmarkStart w:id="137" w:name="_Ref488112512"/>
      <w:bookmarkStart w:id="138" w:name="_Toc488706085"/>
      <w:r w:rsidRPr="00E31081">
        <w:t xml:space="preserve">Tabela </w:t>
      </w:r>
      <w:fldSimple w:instr=" SEQ Tabela \* ARABIC ">
        <w:r>
          <w:rPr>
            <w:noProof/>
          </w:rPr>
          <w:t>4</w:t>
        </w:r>
      </w:fldSimple>
      <w:bookmarkEnd w:id="137"/>
      <w:r w:rsidR="005A4095">
        <w:t xml:space="preserve"> -</w:t>
      </w:r>
      <w:r w:rsidR="005A4095" w:rsidRPr="00E31081">
        <w:t xml:space="preserve"> </w:t>
      </w:r>
      <w:r w:rsidRPr="00E31081">
        <w:t>Potência ativa mé</w:t>
      </w:r>
      <w:r>
        <w:t xml:space="preserve">dia para água ensaiada antes dos experimentos </w:t>
      </w:r>
      <w:r w:rsidRPr="00E31081">
        <w:t>com Goma Guar</w:t>
      </w:r>
      <w:r>
        <w:t xml:space="preserve"> e potência consumida nos instantes iniciais da adição da solução</w:t>
      </w:r>
      <w:r w:rsidRPr="00E31081">
        <w:t>.</w:t>
      </w:r>
      <w:bookmarkEnd w:id="138"/>
    </w:p>
    <w:tbl>
      <w:tblPr>
        <w:tblW w:w="9121" w:type="dxa"/>
        <w:tblLayout w:type="fixed"/>
        <w:tblCellMar>
          <w:left w:w="70" w:type="dxa"/>
          <w:right w:w="70" w:type="dxa"/>
        </w:tblCellMar>
        <w:tblLook w:val="04A0" w:firstRow="1" w:lastRow="0" w:firstColumn="1" w:lastColumn="0" w:noHBand="0" w:noVBand="1"/>
      </w:tblPr>
      <w:tblGrid>
        <w:gridCol w:w="2380"/>
        <w:gridCol w:w="1685"/>
        <w:gridCol w:w="1685"/>
        <w:gridCol w:w="62"/>
        <w:gridCol w:w="1623"/>
        <w:gridCol w:w="1686"/>
      </w:tblGrid>
      <w:tr w:rsidR="0073641D" w:rsidRPr="000F2D0C" w:rsidTr="005D4E46">
        <w:trPr>
          <w:trHeight w:val="387"/>
        </w:trPr>
        <w:tc>
          <w:tcPr>
            <w:tcW w:w="2380" w:type="dxa"/>
            <w:tcBorders>
              <w:top w:val="single" w:sz="4" w:space="0" w:color="auto"/>
              <w:left w:val="nil"/>
              <w:bottom w:val="single" w:sz="4" w:space="0" w:color="auto"/>
              <w:right w:val="nil"/>
            </w:tcBorders>
            <w:shd w:val="clear" w:color="auto" w:fill="auto"/>
            <w:vAlign w:val="center"/>
            <w:hideMark/>
          </w:tcPr>
          <w:p w:rsidR="0073641D" w:rsidRPr="000F2D0C" w:rsidRDefault="0073641D" w:rsidP="0073641D">
            <w:pPr>
              <w:spacing w:after="0" w:line="240" w:lineRule="auto"/>
              <w:contextualSpacing w:val="0"/>
              <w:jc w:val="center"/>
              <w:rPr>
                <w:rFonts w:eastAsia="Times New Roman" w:cs="Arial"/>
                <w:b/>
                <w:i/>
                <w:iCs/>
                <w:color w:val="000000"/>
                <w:szCs w:val="24"/>
                <w:lang w:eastAsia="pt-BR"/>
              </w:rPr>
            </w:pPr>
            <w:r w:rsidRPr="000F2D0C">
              <w:rPr>
                <w:rFonts w:eastAsia="Times New Roman" w:cs="Arial"/>
                <w:b/>
                <w:i/>
                <w:iCs/>
                <w:color w:val="000000"/>
                <w:szCs w:val="24"/>
                <w:lang w:eastAsia="pt-BR"/>
              </w:rPr>
              <w:t> </w:t>
            </w:r>
          </w:p>
        </w:tc>
        <w:tc>
          <w:tcPr>
            <w:tcW w:w="3432" w:type="dxa"/>
            <w:gridSpan w:val="3"/>
            <w:tcBorders>
              <w:top w:val="single" w:sz="4" w:space="0" w:color="auto"/>
              <w:left w:val="nil"/>
              <w:bottom w:val="single" w:sz="4" w:space="0" w:color="auto"/>
              <w:right w:val="nil"/>
            </w:tcBorders>
            <w:shd w:val="clear" w:color="auto" w:fill="auto"/>
            <w:noWrap/>
            <w:vAlign w:val="center"/>
            <w:hideMark/>
          </w:tcPr>
          <w:p w:rsidR="0073641D" w:rsidRPr="000F2D0C" w:rsidRDefault="0073641D" w:rsidP="0073641D">
            <w:pPr>
              <w:spacing w:after="0" w:line="240" w:lineRule="auto"/>
              <w:contextualSpacing w:val="0"/>
              <w:jc w:val="center"/>
              <w:rPr>
                <w:rFonts w:eastAsia="Times New Roman" w:cs="Arial"/>
                <w:b/>
                <w:i/>
                <w:iCs/>
                <w:color w:val="000000"/>
                <w:szCs w:val="24"/>
                <w:lang w:eastAsia="pt-BR"/>
              </w:rPr>
            </w:pPr>
            <w:r>
              <w:rPr>
                <w:rFonts w:eastAsia="Times New Roman" w:cs="Arial"/>
                <w:b/>
                <w:i/>
                <w:iCs/>
                <w:color w:val="000000"/>
                <w:szCs w:val="24"/>
                <w:lang w:eastAsia="pt-BR"/>
              </w:rPr>
              <w:t xml:space="preserve">Re = 34000; Q = </w:t>
            </w:r>
            <w:r w:rsidRPr="000F2D0C">
              <w:rPr>
                <w:rFonts w:eastAsia="Times New Roman" w:cs="Arial"/>
                <w:b/>
                <w:i/>
                <w:iCs/>
                <w:color w:val="000000"/>
                <w:szCs w:val="24"/>
                <w:lang w:eastAsia="pt-BR"/>
              </w:rPr>
              <w:t>2m³/h</w:t>
            </w:r>
          </w:p>
        </w:tc>
        <w:tc>
          <w:tcPr>
            <w:tcW w:w="3309" w:type="dxa"/>
            <w:gridSpan w:val="2"/>
            <w:tcBorders>
              <w:top w:val="single" w:sz="4" w:space="0" w:color="auto"/>
              <w:left w:val="nil"/>
              <w:bottom w:val="single" w:sz="4" w:space="0" w:color="auto"/>
              <w:right w:val="nil"/>
            </w:tcBorders>
            <w:shd w:val="clear" w:color="auto" w:fill="auto"/>
            <w:noWrap/>
            <w:vAlign w:val="center"/>
            <w:hideMark/>
          </w:tcPr>
          <w:p w:rsidR="0073641D" w:rsidRPr="000F2D0C" w:rsidRDefault="0073641D" w:rsidP="0073641D">
            <w:pPr>
              <w:spacing w:after="0" w:line="240" w:lineRule="auto"/>
              <w:contextualSpacing w:val="0"/>
              <w:jc w:val="center"/>
              <w:rPr>
                <w:rFonts w:eastAsia="Times New Roman" w:cs="Arial"/>
                <w:b/>
                <w:i/>
                <w:iCs/>
                <w:color w:val="000000"/>
                <w:szCs w:val="24"/>
                <w:lang w:eastAsia="pt-BR"/>
              </w:rPr>
            </w:pPr>
            <w:r w:rsidRPr="000F2D0C">
              <w:rPr>
                <w:rFonts w:eastAsia="Times New Roman" w:cs="Arial"/>
                <w:b/>
                <w:i/>
                <w:iCs/>
                <w:color w:val="000000"/>
                <w:szCs w:val="24"/>
                <w:lang w:eastAsia="pt-BR"/>
              </w:rPr>
              <w:t xml:space="preserve"> </w:t>
            </w:r>
            <w:r>
              <w:rPr>
                <w:rFonts w:eastAsia="Times New Roman" w:cs="Arial"/>
                <w:b/>
                <w:i/>
                <w:iCs/>
                <w:color w:val="000000"/>
                <w:szCs w:val="24"/>
                <w:lang w:eastAsia="pt-BR"/>
              </w:rPr>
              <w:t xml:space="preserve">Re = 68000; Q = </w:t>
            </w:r>
            <w:r w:rsidRPr="000F2D0C">
              <w:rPr>
                <w:rFonts w:eastAsia="Times New Roman" w:cs="Arial"/>
                <w:b/>
                <w:i/>
                <w:iCs/>
                <w:color w:val="000000"/>
                <w:szCs w:val="24"/>
                <w:lang w:eastAsia="pt-BR"/>
              </w:rPr>
              <w:t>4m³/h</w:t>
            </w:r>
          </w:p>
        </w:tc>
      </w:tr>
      <w:tr w:rsidR="0052222B" w:rsidRPr="000F2D0C" w:rsidTr="008F1B88">
        <w:trPr>
          <w:trHeight w:val="615"/>
        </w:trPr>
        <w:tc>
          <w:tcPr>
            <w:tcW w:w="2380" w:type="dxa"/>
            <w:tcBorders>
              <w:top w:val="nil"/>
              <w:left w:val="nil"/>
              <w:bottom w:val="single" w:sz="4" w:space="0" w:color="auto"/>
              <w:right w:val="nil"/>
            </w:tcBorders>
            <w:shd w:val="clear" w:color="auto" w:fill="auto"/>
            <w:noWrap/>
            <w:vAlign w:val="bottom"/>
            <w:hideMark/>
          </w:tcPr>
          <w:p w:rsidR="0052222B" w:rsidRPr="000F2D0C" w:rsidRDefault="0052222B" w:rsidP="008F1B88">
            <w:pPr>
              <w:spacing w:after="0" w:line="240" w:lineRule="auto"/>
              <w:contextualSpacing w:val="0"/>
              <w:jc w:val="center"/>
              <w:rPr>
                <w:rFonts w:eastAsia="Times New Roman" w:cs="Arial"/>
                <w:b/>
                <w:i/>
                <w:iCs/>
                <w:color w:val="000000"/>
                <w:szCs w:val="24"/>
                <w:lang w:eastAsia="pt-BR"/>
              </w:rPr>
            </w:pPr>
            <w:r w:rsidRPr="000F2D0C">
              <w:rPr>
                <w:rFonts w:eastAsia="Times New Roman" w:cs="Arial"/>
                <w:b/>
                <w:i/>
                <w:iCs/>
                <w:color w:val="000000"/>
                <w:szCs w:val="24"/>
                <w:lang w:eastAsia="pt-BR"/>
              </w:rPr>
              <w:t> </w:t>
            </w:r>
          </w:p>
        </w:tc>
        <w:tc>
          <w:tcPr>
            <w:tcW w:w="1685" w:type="dxa"/>
            <w:tcBorders>
              <w:top w:val="nil"/>
              <w:left w:val="nil"/>
              <w:bottom w:val="single" w:sz="4" w:space="0" w:color="auto"/>
              <w:right w:val="nil"/>
            </w:tcBorders>
            <w:shd w:val="clear" w:color="auto" w:fill="auto"/>
            <w:vAlign w:val="center"/>
            <w:hideMark/>
          </w:tcPr>
          <w:p w:rsidR="0052222B" w:rsidRPr="000F2D0C" w:rsidRDefault="0052222B" w:rsidP="008F1B88">
            <w:pPr>
              <w:spacing w:after="0" w:line="240" w:lineRule="auto"/>
              <w:contextualSpacing w:val="0"/>
              <w:jc w:val="center"/>
              <w:rPr>
                <w:rFonts w:eastAsia="Times New Roman" w:cs="Arial"/>
                <w:b/>
                <w:i/>
                <w:iCs/>
                <w:color w:val="000000"/>
                <w:szCs w:val="24"/>
                <w:lang w:eastAsia="pt-BR"/>
              </w:rPr>
            </w:pPr>
            <w:r w:rsidRPr="000F2D0C">
              <w:rPr>
                <w:rFonts w:eastAsia="Times New Roman" w:cs="Arial"/>
                <w:b/>
                <w:i/>
                <w:iCs/>
                <w:color w:val="000000"/>
                <w:szCs w:val="24"/>
                <w:lang w:eastAsia="pt-BR"/>
              </w:rPr>
              <w:t xml:space="preserve">Água [W] </w:t>
            </w:r>
          </w:p>
        </w:tc>
        <w:tc>
          <w:tcPr>
            <w:tcW w:w="1685" w:type="dxa"/>
            <w:tcBorders>
              <w:top w:val="nil"/>
              <w:left w:val="nil"/>
              <w:bottom w:val="single" w:sz="4" w:space="0" w:color="auto"/>
              <w:right w:val="nil"/>
            </w:tcBorders>
            <w:shd w:val="clear" w:color="auto" w:fill="auto"/>
            <w:vAlign w:val="bottom"/>
            <w:hideMark/>
          </w:tcPr>
          <w:p w:rsidR="0052222B" w:rsidRPr="000F2D0C" w:rsidRDefault="0052222B" w:rsidP="008F1B88">
            <w:pPr>
              <w:spacing w:after="0" w:line="240" w:lineRule="auto"/>
              <w:contextualSpacing w:val="0"/>
              <w:jc w:val="center"/>
              <w:rPr>
                <w:rFonts w:eastAsia="Times New Roman" w:cs="Arial"/>
                <w:b/>
                <w:i/>
                <w:iCs/>
                <w:color w:val="000000"/>
                <w:szCs w:val="24"/>
                <w:lang w:eastAsia="pt-BR"/>
              </w:rPr>
            </w:pPr>
            <w:r w:rsidRPr="000F2D0C">
              <w:rPr>
                <w:rFonts w:eastAsia="Times New Roman" w:cs="Arial"/>
                <w:b/>
                <w:i/>
                <w:iCs/>
                <w:color w:val="000000"/>
                <w:szCs w:val="24"/>
                <w:lang w:eastAsia="pt-BR"/>
              </w:rPr>
              <w:t>Pot</w:t>
            </w:r>
            <w:r>
              <w:rPr>
                <w:rFonts w:eastAsia="Times New Roman" w:cs="Arial"/>
                <w:b/>
                <w:i/>
                <w:iCs/>
                <w:color w:val="000000"/>
                <w:szCs w:val="24"/>
                <w:lang w:eastAsia="pt-BR"/>
              </w:rPr>
              <w:t>.</w:t>
            </w:r>
            <w:r w:rsidRPr="000F2D0C">
              <w:rPr>
                <w:rFonts w:eastAsia="Times New Roman" w:cs="Arial"/>
                <w:b/>
                <w:i/>
                <w:iCs/>
                <w:color w:val="000000"/>
                <w:szCs w:val="24"/>
                <w:lang w:eastAsia="pt-BR"/>
              </w:rPr>
              <w:t xml:space="preserve"> Inicial</w:t>
            </w:r>
            <w:r>
              <w:rPr>
                <w:rFonts w:eastAsia="Times New Roman" w:cs="Arial"/>
                <w:b/>
                <w:i/>
                <w:iCs/>
                <w:color w:val="000000"/>
                <w:szCs w:val="24"/>
                <w:lang w:eastAsia="pt-BR"/>
              </w:rPr>
              <w:t xml:space="preserve"> c/</w:t>
            </w:r>
            <w:r w:rsidRPr="000F2D0C">
              <w:rPr>
                <w:rFonts w:eastAsia="Times New Roman" w:cs="Arial"/>
                <w:b/>
                <w:i/>
                <w:iCs/>
                <w:color w:val="000000"/>
                <w:szCs w:val="24"/>
                <w:lang w:eastAsia="pt-BR"/>
              </w:rPr>
              <w:t xml:space="preserve"> Polímero [W] </w:t>
            </w:r>
          </w:p>
        </w:tc>
        <w:tc>
          <w:tcPr>
            <w:tcW w:w="1685" w:type="dxa"/>
            <w:gridSpan w:val="2"/>
            <w:tcBorders>
              <w:top w:val="nil"/>
              <w:left w:val="nil"/>
              <w:bottom w:val="single" w:sz="4" w:space="0" w:color="auto"/>
              <w:right w:val="nil"/>
            </w:tcBorders>
            <w:shd w:val="clear" w:color="auto" w:fill="auto"/>
            <w:vAlign w:val="center"/>
            <w:hideMark/>
          </w:tcPr>
          <w:p w:rsidR="0052222B" w:rsidRPr="000F2D0C" w:rsidRDefault="0052222B" w:rsidP="008F1B88">
            <w:pPr>
              <w:spacing w:after="0" w:line="240" w:lineRule="auto"/>
              <w:contextualSpacing w:val="0"/>
              <w:jc w:val="center"/>
              <w:rPr>
                <w:rFonts w:eastAsia="Times New Roman" w:cs="Arial"/>
                <w:b/>
                <w:i/>
                <w:iCs/>
                <w:color w:val="000000"/>
                <w:szCs w:val="24"/>
                <w:lang w:eastAsia="pt-BR"/>
              </w:rPr>
            </w:pPr>
            <w:r w:rsidRPr="000F2D0C">
              <w:rPr>
                <w:rFonts w:eastAsia="Times New Roman" w:cs="Arial"/>
                <w:b/>
                <w:i/>
                <w:iCs/>
                <w:color w:val="000000"/>
                <w:szCs w:val="24"/>
                <w:lang w:eastAsia="pt-BR"/>
              </w:rPr>
              <w:t xml:space="preserve">Água [W] </w:t>
            </w:r>
          </w:p>
        </w:tc>
        <w:tc>
          <w:tcPr>
            <w:tcW w:w="1686" w:type="dxa"/>
            <w:tcBorders>
              <w:top w:val="nil"/>
              <w:left w:val="nil"/>
              <w:bottom w:val="single" w:sz="4" w:space="0" w:color="auto"/>
              <w:right w:val="nil"/>
            </w:tcBorders>
            <w:shd w:val="clear" w:color="auto" w:fill="auto"/>
            <w:vAlign w:val="bottom"/>
            <w:hideMark/>
          </w:tcPr>
          <w:p w:rsidR="0052222B" w:rsidRPr="000F2D0C" w:rsidRDefault="0052222B" w:rsidP="008F1B88">
            <w:pPr>
              <w:spacing w:after="0" w:line="240" w:lineRule="auto"/>
              <w:contextualSpacing w:val="0"/>
              <w:jc w:val="center"/>
              <w:rPr>
                <w:rFonts w:eastAsia="Times New Roman" w:cs="Arial"/>
                <w:b/>
                <w:i/>
                <w:iCs/>
                <w:color w:val="000000"/>
                <w:szCs w:val="24"/>
                <w:lang w:eastAsia="pt-BR"/>
              </w:rPr>
            </w:pPr>
            <w:r w:rsidRPr="000F2D0C">
              <w:rPr>
                <w:rFonts w:eastAsia="Times New Roman" w:cs="Arial"/>
                <w:b/>
                <w:i/>
                <w:iCs/>
                <w:color w:val="000000"/>
                <w:szCs w:val="24"/>
                <w:lang w:eastAsia="pt-BR"/>
              </w:rPr>
              <w:t>Pot</w:t>
            </w:r>
            <w:r>
              <w:rPr>
                <w:rFonts w:eastAsia="Times New Roman" w:cs="Arial"/>
                <w:b/>
                <w:i/>
                <w:iCs/>
                <w:color w:val="000000"/>
                <w:szCs w:val="24"/>
                <w:lang w:eastAsia="pt-BR"/>
              </w:rPr>
              <w:t>.</w:t>
            </w:r>
            <w:r w:rsidRPr="000F2D0C">
              <w:rPr>
                <w:rFonts w:eastAsia="Times New Roman" w:cs="Arial"/>
                <w:b/>
                <w:i/>
                <w:iCs/>
                <w:color w:val="000000"/>
                <w:szCs w:val="24"/>
                <w:lang w:eastAsia="pt-BR"/>
              </w:rPr>
              <w:t xml:space="preserve"> Inicial</w:t>
            </w:r>
            <w:r>
              <w:rPr>
                <w:rFonts w:eastAsia="Times New Roman" w:cs="Arial"/>
                <w:b/>
                <w:i/>
                <w:iCs/>
                <w:color w:val="000000"/>
                <w:szCs w:val="24"/>
                <w:lang w:eastAsia="pt-BR"/>
              </w:rPr>
              <w:t xml:space="preserve"> c/</w:t>
            </w:r>
            <w:r w:rsidRPr="000F2D0C">
              <w:rPr>
                <w:rFonts w:eastAsia="Times New Roman" w:cs="Arial"/>
                <w:b/>
                <w:i/>
                <w:iCs/>
                <w:color w:val="000000"/>
                <w:szCs w:val="24"/>
                <w:lang w:eastAsia="pt-BR"/>
              </w:rPr>
              <w:t xml:space="preserve"> Polímero [W] </w:t>
            </w:r>
          </w:p>
        </w:tc>
      </w:tr>
      <w:tr w:rsidR="0052222B" w:rsidRPr="000F2D0C" w:rsidTr="008F1B88">
        <w:trPr>
          <w:trHeight w:val="315"/>
        </w:trPr>
        <w:tc>
          <w:tcPr>
            <w:tcW w:w="2380" w:type="dxa"/>
            <w:tcBorders>
              <w:top w:val="nil"/>
              <w:left w:val="nil"/>
              <w:bottom w:val="single" w:sz="4" w:space="0" w:color="auto"/>
              <w:right w:val="nil"/>
            </w:tcBorders>
            <w:shd w:val="clear" w:color="auto" w:fill="auto"/>
            <w:vAlign w:val="center"/>
            <w:hideMark/>
          </w:tcPr>
          <w:p w:rsidR="0052222B" w:rsidRPr="000F2D0C" w:rsidRDefault="0052222B" w:rsidP="008F1B88">
            <w:pPr>
              <w:spacing w:after="0" w:line="240" w:lineRule="auto"/>
              <w:contextualSpacing w:val="0"/>
              <w:jc w:val="center"/>
              <w:rPr>
                <w:rFonts w:ascii="Calibri" w:eastAsia="Times New Roman" w:hAnsi="Calibri" w:cs="Times New Roman"/>
                <w:color w:val="000000"/>
                <w:szCs w:val="24"/>
                <w:lang w:eastAsia="pt-BR"/>
              </w:rPr>
            </w:pPr>
            <w:r w:rsidRPr="000F2D0C">
              <w:rPr>
                <w:rFonts w:ascii="Calibri" w:eastAsia="Times New Roman" w:hAnsi="Calibri" w:cs="Times New Roman"/>
                <w:color w:val="000000"/>
                <w:szCs w:val="24"/>
                <w:lang w:eastAsia="pt-BR"/>
              </w:rPr>
              <w:t>Guar 50ppm</w:t>
            </w:r>
          </w:p>
        </w:tc>
        <w:tc>
          <w:tcPr>
            <w:tcW w:w="1685" w:type="dxa"/>
            <w:tcBorders>
              <w:top w:val="nil"/>
              <w:left w:val="nil"/>
              <w:bottom w:val="single" w:sz="4" w:space="0" w:color="auto"/>
              <w:right w:val="nil"/>
            </w:tcBorders>
            <w:shd w:val="clear" w:color="auto" w:fill="auto"/>
            <w:noWrap/>
            <w:vAlign w:val="center"/>
            <w:hideMark/>
          </w:tcPr>
          <w:p w:rsidR="0052222B" w:rsidRPr="000F2D0C" w:rsidRDefault="0052222B" w:rsidP="008F1B88">
            <w:pPr>
              <w:spacing w:after="0" w:line="240" w:lineRule="auto"/>
              <w:contextualSpacing w:val="0"/>
              <w:jc w:val="center"/>
              <w:rPr>
                <w:rFonts w:ascii="Calibri" w:eastAsia="Times New Roman" w:hAnsi="Calibri" w:cs="Times New Roman"/>
                <w:color w:val="000000"/>
                <w:szCs w:val="24"/>
                <w:lang w:eastAsia="pt-BR"/>
              </w:rPr>
            </w:pPr>
            <w:r w:rsidRPr="000F2D0C">
              <w:rPr>
                <w:rFonts w:ascii="Calibri" w:eastAsia="Times New Roman" w:hAnsi="Calibri" w:cs="Times New Roman"/>
                <w:color w:val="000000"/>
                <w:szCs w:val="24"/>
                <w:lang w:eastAsia="pt-BR"/>
              </w:rPr>
              <w:t>504,1</w:t>
            </w:r>
          </w:p>
        </w:tc>
        <w:tc>
          <w:tcPr>
            <w:tcW w:w="1685" w:type="dxa"/>
            <w:tcBorders>
              <w:top w:val="single" w:sz="4" w:space="0" w:color="auto"/>
              <w:left w:val="nil"/>
              <w:bottom w:val="single" w:sz="4" w:space="0" w:color="auto"/>
              <w:right w:val="nil"/>
            </w:tcBorders>
            <w:shd w:val="clear" w:color="auto" w:fill="auto"/>
            <w:noWrap/>
            <w:vAlign w:val="center"/>
            <w:hideMark/>
          </w:tcPr>
          <w:p w:rsidR="0052222B" w:rsidRPr="000F2D0C" w:rsidRDefault="0052222B" w:rsidP="008F1B88">
            <w:pPr>
              <w:spacing w:after="0" w:line="240" w:lineRule="auto"/>
              <w:contextualSpacing w:val="0"/>
              <w:jc w:val="center"/>
              <w:rPr>
                <w:rFonts w:ascii="Calibri" w:eastAsia="Times New Roman" w:hAnsi="Calibri" w:cs="Times New Roman"/>
                <w:color w:val="000000"/>
                <w:szCs w:val="24"/>
                <w:lang w:eastAsia="pt-BR"/>
              </w:rPr>
            </w:pPr>
            <w:r w:rsidRPr="000F2D0C">
              <w:rPr>
                <w:rFonts w:ascii="Calibri" w:eastAsia="Times New Roman" w:hAnsi="Calibri" w:cs="Times New Roman"/>
                <w:color w:val="000000"/>
                <w:szCs w:val="24"/>
                <w:lang w:eastAsia="pt-BR"/>
              </w:rPr>
              <w:t>438,3</w:t>
            </w:r>
          </w:p>
        </w:tc>
        <w:tc>
          <w:tcPr>
            <w:tcW w:w="1685" w:type="dxa"/>
            <w:gridSpan w:val="2"/>
            <w:tcBorders>
              <w:top w:val="nil"/>
              <w:left w:val="nil"/>
              <w:bottom w:val="single" w:sz="4" w:space="0" w:color="auto"/>
              <w:right w:val="nil"/>
            </w:tcBorders>
            <w:shd w:val="clear" w:color="auto" w:fill="auto"/>
            <w:noWrap/>
            <w:vAlign w:val="center"/>
            <w:hideMark/>
          </w:tcPr>
          <w:p w:rsidR="0052222B" w:rsidRPr="000F2D0C" w:rsidRDefault="0052222B" w:rsidP="008F1B88">
            <w:pPr>
              <w:spacing w:after="0" w:line="240" w:lineRule="auto"/>
              <w:contextualSpacing w:val="0"/>
              <w:jc w:val="center"/>
              <w:rPr>
                <w:rFonts w:ascii="Calibri" w:eastAsia="Times New Roman" w:hAnsi="Calibri" w:cs="Times New Roman"/>
                <w:color w:val="000000"/>
                <w:szCs w:val="24"/>
                <w:lang w:eastAsia="pt-BR"/>
              </w:rPr>
            </w:pPr>
            <w:r w:rsidRPr="000F2D0C">
              <w:rPr>
                <w:rFonts w:ascii="Calibri" w:eastAsia="Times New Roman" w:hAnsi="Calibri" w:cs="Times New Roman"/>
                <w:color w:val="000000"/>
                <w:szCs w:val="24"/>
                <w:lang w:eastAsia="pt-BR"/>
              </w:rPr>
              <w:t>2743,5</w:t>
            </w:r>
          </w:p>
        </w:tc>
        <w:tc>
          <w:tcPr>
            <w:tcW w:w="1686" w:type="dxa"/>
            <w:tcBorders>
              <w:top w:val="single" w:sz="4" w:space="0" w:color="auto"/>
              <w:left w:val="nil"/>
              <w:bottom w:val="single" w:sz="4" w:space="0" w:color="auto"/>
              <w:right w:val="nil"/>
            </w:tcBorders>
            <w:shd w:val="clear" w:color="auto" w:fill="auto"/>
            <w:noWrap/>
            <w:vAlign w:val="center"/>
            <w:hideMark/>
          </w:tcPr>
          <w:p w:rsidR="0052222B" w:rsidRPr="000F2D0C" w:rsidRDefault="0052222B" w:rsidP="008F1B88">
            <w:pPr>
              <w:spacing w:after="0" w:line="240" w:lineRule="auto"/>
              <w:contextualSpacing w:val="0"/>
              <w:jc w:val="center"/>
              <w:rPr>
                <w:rFonts w:ascii="Calibri" w:eastAsia="Times New Roman" w:hAnsi="Calibri" w:cs="Times New Roman"/>
                <w:color w:val="000000"/>
                <w:szCs w:val="24"/>
                <w:lang w:eastAsia="pt-BR"/>
              </w:rPr>
            </w:pPr>
            <w:r w:rsidRPr="000F2D0C">
              <w:rPr>
                <w:rFonts w:ascii="Calibri" w:eastAsia="Times New Roman" w:hAnsi="Calibri" w:cs="Times New Roman"/>
                <w:color w:val="000000"/>
                <w:szCs w:val="24"/>
                <w:lang w:eastAsia="pt-BR"/>
              </w:rPr>
              <w:t>2238,8</w:t>
            </w:r>
          </w:p>
        </w:tc>
      </w:tr>
      <w:tr w:rsidR="0052222B" w:rsidRPr="000F2D0C" w:rsidTr="008F1B88">
        <w:trPr>
          <w:trHeight w:val="315"/>
        </w:trPr>
        <w:tc>
          <w:tcPr>
            <w:tcW w:w="2380" w:type="dxa"/>
            <w:tcBorders>
              <w:top w:val="nil"/>
              <w:left w:val="nil"/>
              <w:bottom w:val="single" w:sz="4" w:space="0" w:color="auto"/>
              <w:right w:val="nil"/>
            </w:tcBorders>
            <w:shd w:val="clear" w:color="auto" w:fill="auto"/>
            <w:vAlign w:val="center"/>
            <w:hideMark/>
          </w:tcPr>
          <w:p w:rsidR="0052222B" w:rsidRPr="000F2D0C" w:rsidRDefault="0052222B" w:rsidP="008F1B88">
            <w:pPr>
              <w:spacing w:after="0" w:line="240" w:lineRule="auto"/>
              <w:contextualSpacing w:val="0"/>
              <w:jc w:val="center"/>
              <w:rPr>
                <w:rFonts w:ascii="Calibri" w:eastAsia="Times New Roman" w:hAnsi="Calibri" w:cs="Times New Roman"/>
                <w:color w:val="000000"/>
                <w:szCs w:val="24"/>
                <w:lang w:eastAsia="pt-BR"/>
              </w:rPr>
            </w:pPr>
            <w:r w:rsidRPr="000F2D0C">
              <w:rPr>
                <w:rFonts w:ascii="Calibri" w:eastAsia="Times New Roman" w:hAnsi="Calibri" w:cs="Times New Roman"/>
                <w:color w:val="000000"/>
                <w:szCs w:val="24"/>
                <w:lang w:eastAsia="pt-BR"/>
              </w:rPr>
              <w:t>Guar 100ppm</w:t>
            </w:r>
          </w:p>
        </w:tc>
        <w:tc>
          <w:tcPr>
            <w:tcW w:w="1685" w:type="dxa"/>
            <w:tcBorders>
              <w:top w:val="nil"/>
              <w:left w:val="nil"/>
              <w:bottom w:val="single" w:sz="4" w:space="0" w:color="auto"/>
              <w:right w:val="nil"/>
            </w:tcBorders>
            <w:shd w:val="clear" w:color="auto" w:fill="auto"/>
            <w:noWrap/>
            <w:vAlign w:val="center"/>
            <w:hideMark/>
          </w:tcPr>
          <w:p w:rsidR="0052222B" w:rsidRPr="000F2D0C" w:rsidRDefault="0052222B" w:rsidP="008F1B88">
            <w:pPr>
              <w:spacing w:after="0" w:line="240" w:lineRule="auto"/>
              <w:contextualSpacing w:val="0"/>
              <w:jc w:val="center"/>
              <w:rPr>
                <w:rFonts w:ascii="Calibri" w:eastAsia="Times New Roman" w:hAnsi="Calibri" w:cs="Times New Roman"/>
                <w:color w:val="000000"/>
                <w:szCs w:val="24"/>
                <w:lang w:eastAsia="pt-BR"/>
              </w:rPr>
            </w:pPr>
            <w:r w:rsidRPr="000F2D0C">
              <w:rPr>
                <w:rFonts w:ascii="Calibri" w:eastAsia="Times New Roman" w:hAnsi="Calibri" w:cs="Times New Roman"/>
                <w:color w:val="000000"/>
                <w:szCs w:val="24"/>
                <w:lang w:eastAsia="pt-BR"/>
              </w:rPr>
              <w:t>502,6</w:t>
            </w:r>
          </w:p>
        </w:tc>
        <w:tc>
          <w:tcPr>
            <w:tcW w:w="1685" w:type="dxa"/>
            <w:tcBorders>
              <w:top w:val="nil"/>
              <w:left w:val="nil"/>
              <w:bottom w:val="single" w:sz="4" w:space="0" w:color="auto"/>
              <w:right w:val="nil"/>
            </w:tcBorders>
            <w:shd w:val="clear" w:color="auto" w:fill="auto"/>
            <w:noWrap/>
            <w:vAlign w:val="center"/>
            <w:hideMark/>
          </w:tcPr>
          <w:p w:rsidR="0052222B" w:rsidRPr="000F2D0C" w:rsidRDefault="0052222B" w:rsidP="008F1B88">
            <w:pPr>
              <w:spacing w:after="0" w:line="240" w:lineRule="auto"/>
              <w:contextualSpacing w:val="0"/>
              <w:jc w:val="center"/>
              <w:rPr>
                <w:rFonts w:ascii="Calibri" w:eastAsia="Times New Roman" w:hAnsi="Calibri" w:cs="Times New Roman"/>
                <w:color w:val="000000"/>
                <w:szCs w:val="24"/>
                <w:lang w:eastAsia="pt-BR"/>
              </w:rPr>
            </w:pPr>
            <w:r w:rsidRPr="000F2D0C">
              <w:rPr>
                <w:rFonts w:ascii="Calibri" w:eastAsia="Times New Roman" w:hAnsi="Calibri" w:cs="Times New Roman"/>
                <w:color w:val="000000"/>
                <w:szCs w:val="24"/>
                <w:lang w:eastAsia="pt-BR"/>
              </w:rPr>
              <w:t>390,5</w:t>
            </w:r>
          </w:p>
        </w:tc>
        <w:tc>
          <w:tcPr>
            <w:tcW w:w="1685" w:type="dxa"/>
            <w:gridSpan w:val="2"/>
            <w:tcBorders>
              <w:top w:val="nil"/>
              <w:left w:val="nil"/>
              <w:bottom w:val="single" w:sz="4" w:space="0" w:color="auto"/>
              <w:right w:val="nil"/>
            </w:tcBorders>
            <w:shd w:val="clear" w:color="auto" w:fill="auto"/>
            <w:noWrap/>
            <w:vAlign w:val="center"/>
            <w:hideMark/>
          </w:tcPr>
          <w:p w:rsidR="0052222B" w:rsidRPr="000F2D0C" w:rsidRDefault="0052222B" w:rsidP="008F1B88">
            <w:pPr>
              <w:spacing w:after="0" w:line="240" w:lineRule="auto"/>
              <w:contextualSpacing w:val="0"/>
              <w:jc w:val="center"/>
              <w:rPr>
                <w:rFonts w:ascii="Calibri" w:eastAsia="Times New Roman" w:hAnsi="Calibri" w:cs="Times New Roman"/>
                <w:color w:val="000000"/>
                <w:szCs w:val="24"/>
                <w:lang w:eastAsia="pt-BR"/>
              </w:rPr>
            </w:pPr>
            <w:r w:rsidRPr="000F2D0C">
              <w:rPr>
                <w:rFonts w:ascii="Calibri" w:eastAsia="Times New Roman" w:hAnsi="Calibri" w:cs="Times New Roman"/>
                <w:color w:val="000000"/>
                <w:szCs w:val="24"/>
                <w:lang w:eastAsia="pt-BR"/>
              </w:rPr>
              <w:t>2785,8</w:t>
            </w:r>
          </w:p>
        </w:tc>
        <w:tc>
          <w:tcPr>
            <w:tcW w:w="1686" w:type="dxa"/>
            <w:tcBorders>
              <w:top w:val="nil"/>
              <w:left w:val="nil"/>
              <w:bottom w:val="single" w:sz="4" w:space="0" w:color="auto"/>
              <w:right w:val="nil"/>
            </w:tcBorders>
            <w:shd w:val="clear" w:color="auto" w:fill="auto"/>
            <w:noWrap/>
            <w:vAlign w:val="center"/>
            <w:hideMark/>
          </w:tcPr>
          <w:p w:rsidR="0052222B" w:rsidRPr="000F2D0C" w:rsidRDefault="0052222B" w:rsidP="008F1B88">
            <w:pPr>
              <w:spacing w:after="0" w:line="240" w:lineRule="auto"/>
              <w:contextualSpacing w:val="0"/>
              <w:jc w:val="center"/>
              <w:rPr>
                <w:rFonts w:ascii="Calibri" w:eastAsia="Times New Roman" w:hAnsi="Calibri" w:cs="Times New Roman"/>
                <w:color w:val="000000"/>
                <w:szCs w:val="24"/>
                <w:lang w:eastAsia="pt-BR"/>
              </w:rPr>
            </w:pPr>
            <w:r w:rsidRPr="000F2D0C">
              <w:rPr>
                <w:rFonts w:ascii="Calibri" w:eastAsia="Times New Roman" w:hAnsi="Calibri" w:cs="Times New Roman"/>
                <w:color w:val="000000"/>
                <w:szCs w:val="24"/>
                <w:lang w:eastAsia="pt-BR"/>
              </w:rPr>
              <w:t>2175,5</w:t>
            </w:r>
          </w:p>
        </w:tc>
      </w:tr>
      <w:tr w:rsidR="0052222B" w:rsidRPr="000F2D0C" w:rsidTr="008F1B88">
        <w:trPr>
          <w:trHeight w:val="315"/>
        </w:trPr>
        <w:tc>
          <w:tcPr>
            <w:tcW w:w="2380" w:type="dxa"/>
            <w:tcBorders>
              <w:top w:val="nil"/>
              <w:left w:val="nil"/>
              <w:bottom w:val="single" w:sz="4" w:space="0" w:color="auto"/>
              <w:right w:val="nil"/>
            </w:tcBorders>
            <w:shd w:val="clear" w:color="auto" w:fill="auto"/>
            <w:vAlign w:val="center"/>
            <w:hideMark/>
          </w:tcPr>
          <w:p w:rsidR="0052222B" w:rsidRPr="000F2D0C" w:rsidRDefault="0052222B" w:rsidP="008F1B88">
            <w:pPr>
              <w:spacing w:after="0" w:line="240" w:lineRule="auto"/>
              <w:contextualSpacing w:val="0"/>
              <w:jc w:val="center"/>
              <w:rPr>
                <w:rFonts w:ascii="Calibri" w:eastAsia="Times New Roman" w:hAnsi="Calibri" w:cs="Times New Roman"/>
                <w:color w:val="000000"/>
                <w:szCs w:val="24"/>
                <w:lang w:eastAsia="pt-BR"/>
              </w:rPr>
            </w:pPr>
            <w:r w:rsidRPr="000F2D0C">
              <w:rPr>
                <w:rFonts w:ascii="Calibri" w:eastAsia="Times New Roman" w:hAnsi="Calibri" w:cs="Times New Roman"/>
                <w:color w:val="000000"/>
                <w:szCs w:val="24"/>
                <w:lang w:eastAsia="pt-BR"/>
              </w:rPr>
              <w:t>Guar 200ppm</w:t>
            </w:r>
          </w:p>
        </w:tc>
        <w:tc>
          <w:tcPr>
            <w:tcW w:w="1685" w:type="dxa"/>
            <w:tcBorders>
              <w:top w:val="nil"/>
              <w:left w:val="nil"/>
              <w:bottom w:val="single" w:sz="4" w:space="0" w:color="auto"/>
              <w:right w:val="nil"/>
            </w:tcBorders>
            <w:shd w:val="clear" w:color="auto" w:fill="auto"/>
            <w:noWrap/>
            <w:vAlign w:val="center"/>
            <w:hideMark/>
          </w:tcPr>
          <w:p w:rsidR="0052222B" w:rsidRPr="000F2D0C" w:rsidRDefault="0052222B" w:rsidP="008F1B88">
            <w:pPr>
              <w:spacing w:after="0" w:line="240" w:lineRule="auto"/>
              <w:contextualSpacing w:val="0"/>
              <w:jc w:val="center"/>
              <w:rPr>
                <w:rFonts w:ascii="Calibri" w:eastAsia="Times New Roman" w:hAnsi="Calibri" w:cs="Times New Roman"/>
                <w:color w:val="000000"/>
                <w:szCs w:val="24"/>
                <w:lang w:eastAsia="pt-BR"/>
              </w:rPr>
            </w:pPr>
            <w:r w:rsidRPr="000F2D0C">
              <w:rPr>
                <w:rFonts w:ascii="Calibri" w:eastAsia="Times New Roman" w:hAnsi="Calibri" w:cs="Times New Roman"/>
                <w:color w:val="000000"/>
                <w:szCs w:val="24"/>
                <w:lang w:eastAsia="pt-BR"/>
              </w:rPr>
              <w:t>499,4</w:t>
            </w:r>
          </w:p>
        </w:tc>
        <w:tc>
          <w:tcPr>
            <w:tcW w:w="1685" w:type="dxa"/>
            <w:tcBorders>
              <w:top w:val="nil"/>
              <w:left w:val="nil"/>
              <w:bottom w:val="single" w:sz="4" w:space="0" w:color="auto"/>
              <w:right w:val="nil"/>
            </w:tcBorders>
            <w:shd w:val="clear" w:color="auto" w:fill="auto"/>
            <w:noWrap/>
            <w:vAlign w:val="center"/>
            <w:hideMark/>
          </w:tcPr>
          <w:p w:rsidR="0052222B" w:rsidRPr="000F2D0C" w:rsidRDefault="0052222B" w:rsidP="008F1B88">
            <w:pPr>
              <w:spacing w:after="0" w:line="240" w:lineRule="auto"/>
              <w:contextualSpacing w:val="0"/>
              <w:jc w:val="center"/>
              <w:rPr>
                <w:rFonts w:ascii="Calibri" w:eastAsia="Times New Roman" w:hAnsi="Calibri" w:cs="Times New Roman"/>
                <w:color w:val="000000"/>
                <w:szCs w:val="24"/>
                <w:lang w:eastAsia="pt-BR"/>
              </w:rPr>
            </w:pPr>
            <w:r w:rsidRPr="000F2D0C">
              <w:rPr>
                <w:rFonts w:ascii="Calibri" w:eastAsia="Times New Roman" w:hAnsi="Calibri" w:cs="Times New Roman"/>
                <w:color w:val="000000"/>
                <w:szCs w:val="24"/>
                <w:lang w:eastAsia="pt-BR"/>
              </w:rPr>
              <w:t>383,8</w:t>
            </w:r>
          </w:p>
        </w:tc>
        <w:tc>
          <w:tcPr>
            <w:tcW w:w="1685" w:type="dxa"/>
            <w:gridSpan w:val="2"/>
            <w:tcBorders>
              <w:top w:val="nil"/>
              <w:left w:val="nil"/>
              <w:bottom w:val="single" w:sz="4" w:space="0" w:color="auto"/>
              <w:right w:val="nil"/>
            </w:tcBorders>
            <w:shd w:val="clear" w:color="auto" w:fill="auto"/>
            <w:noWrap/>
            <w:vAlign w:val="center"/>
            <w:hideMark/>
          </w:tcPr>
          <w:p w:rsidR="0052222B" w:rsidRPr="000F2D0C" w:rsidRDefault="0052222B" w:rsidP="008F1B88">
            <w:pPr>
              <w:spacing w:after="0" w:line="240" w:lineRule="auto"/>
              <w:contextualSpacing w:val="0"/>
              <w:jc w:val="center"/>
              <w:rPr>
                <w:rFonts w:ascii="Calibri" w:eastAsia="Times New Roman" w:hAnsi="Calibri" w:cs="Times New Roman"/>
                <w:color w:val="000000"/>
                <w:szCs w:val="24"/>
                <w:lang w:eastAsia="pt-BR"/>
              </w:rPr>
            </w:pPr>
            <w:r w:rsidRPr="000F2D0C">
              <w:rPr>
                <w:rFonts w:ascii="Calibri" w:eastAsia="Times New Roman" w:hAnsi="Calibri" w:cs="Times New Roman"/>
                <w:color w:val="000000"/>
                <w:szCs w:val="24"/>
                <w:lang w:eastAsia="pt-BR"/>
              </w:rPr>
              <w:t>2871,4</w:t>
            </w:r>
          </w:p>
        </w:tc>
        <w:tc>
          <w:tcPr>
            <w:tcW w:w="1686" w:type="dxa"/>
            <w:tcBorders>
              <w:top w:val="nil"/>
              <w:left w:val="nil"/>
              <w:bottom w:val="single" w:sz="4" w:space="0" w:color="auto"/>
              <w:right w:val="nil"/>
            </w:tcBorders>
            <w:shd w:val="clear" w:color="auto" w:fill="auto"/>
            <w:noWrap/>
            <w:vAlign w:val="center"/>
            <w:hideMark/>
          </w:tcPr>
          <w:p w:rsidR="0052222B" w:rsidRPr="000F2D0C" w:rsidRDefault="0052222B" w:rsidP="008F1B88">
            <w:pPr>
              <w:spacing w:after="0" w:line="240" w:lineRule="auto"/>
              <w:contextualSpacing w:val="0"/>
              <w:jc w:val="center"/>
              <w:rPr>
                <w:rFonts w:ascii="Calibri" w:eastAsia="Times New Roman" w:hAnsi="Calibri" w:cs="Times New Roman"/>
                <w:color w:val="000000"/>
                <w:szCs w:val="24"/>
                <w:lang w:eastAsia="pt-BR"/>
              </w:rPr>
            </w:pPr>
            <w:r w:rsidRPr="000F2D0C">
              <w:rPr>
                <w:rFonts w:ascii="Calibri" w:eastAsia="Times New Roman" w:hAnsi="Calibri" w:cs="Times New Roman"/>
                <w:color w:val="000000"/>
                <w:szCs w:val="24"/>
                <w:lang w:eastAsia="pt-BR"/>
              </w:rPr>
              <w:t>1874,0</w:t>
            </w:r>
          </w:p>
        </w:tc>
      </w:tr>
    </w:tbl>
    <w:p w:rsidR="0052222B" w:rsidRPr="00515A7B" w:rsidRDefault="0052222B" w:rsidP="0052222B">
      <w:pPr>
        <w:jc w:val="center"/>
      </w:pPr>
      <w:r w:rsidRPr="00515A7B">
        <w:t>Fonte: Autoria Própria</w:t>
      </w:r>
    </w:p>
    <w:p w:rsidR="0099718A" w:rsidRPr="00E31081" w:rsidRDefault="0099718A" w:rsidP="00515A7B">
      <w:pPr>
        <w:pStyle w:val="Figura-PG"/>
      </w:pPr>
      <w:bookmarkStart w:id="139" w:name="_Toc488706062"/>
      <w:r w:rsidRPr="00E31081">
        <w:t xml:space="preserve">Figura </w:t>
      </w:r>
      <w:fldSimple w:instr=" SEQ Figura \* ARABIC ">
        <w:r w:rsidR="004C240D">
          <w:rPr>
            <w:noProof/>
          </w:rPr>
          <w:t>21</w:t>
        </w:r>
      </w:fldSimple>
      <w:r w:rsidR="005A4095">
        <w:t xml:space="preserve"> -</w:t>
      </w:r>
      <w:r w:rsidRPr="00E31081">
        <w:t xml:space="preserve"> Potência normalizada das soluções de Goma Guar para </w:t>
      </w:r>
      <w:r w:rsidR="005A4095">
        <w:t>C</w:t>
      </w:r>
      <w:r w:rsidRPr="00E31081">
        <w:t xml:space="preserve"> = 50 ppm.</w:t>
      </w:r>
      <w:bookmarkEnd w:id="139"/>
    </w:p>
    <w:p w:rsidR="001F4796" w:rsidRDefault="005A4095" w:rsidP="00A16BA1">
      <w:pPr>
        <w:jc w:val="center"/>
      </w:pPr>
      <w:r w:rsidRPr="005A4095">
        <w:rPr>
          <w:noProof/>
          <w:lang w:eastAsia="pt-BR"/>
        </w:rPr>
        <w:drawing>
          <wp:inline distT="0" distB="0" distL="0" distR="0" wp14:anchorId="3B70024A" wp14:editId="53149DD5">
            <wp:extent cx="3432876" cy="3312000"/>
            <wp:effectExtent l="0" t="0" r="0" b="3175"/>
            <wp:docPr id="30" name="Imagem 30" descr="C:\Users\Jhonnilo\Google Drive\PG UFES\Drag Reduction\Testes\Graficos\Export\p guar 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honnilo\Google Drive\PG UFES\Drag Reduction\Testes\Graficos\Export\p guar 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32876" cy="3312000"/>
                    </a:xfrm>
                    <a:prstGeom prst="rect">
                      <a:avLst/>
                    </a:prstGeom>
                    <a:noFill/>
                    <a:ln>
                      <a:noFill/>
                    </a:ln>
                  </pic:spPr>
                </pic:pic>
              </a:graphicData>
            </a:graphic>
          </wp:inline>
        </w:drawing>
      </w:r>
      <w:r>
        <w:tab/>
      </w:r>
      <w:r>
        <w:tab/>
      </w:r>
    </w:p>
    <w:p w:rsidR="005A4095" w:rsidRDefault="00515A7B" w:rsidP="00A16BA1">
      <w:pPr>
        <w:jc w:val="center"/>
      </w:pPr>
      <w:r>
        <w:lastRenderedPageBreak/>
        <w:t>Fonte: Autoria própria</w:t>
      </w:r>
    </w:p>
    <w:p w:rsidR="00731E0E" w:rsidRDefault="00731E0E" w:rsidP="00A16BA1">
      <w:pPr>
        <w:jc w:val="center"/>
      </w:pPr>
    </w:p>
    <w:p w:rsidR="00731E0E" w:rsidRDefault="00731E0E" w:rsidP="00731E0E">
      <w:pPr>
        <w:pStyle w:val="Figura-PG"/>
      </w:pPr>
      <w:bookmarkStart w:id="140" w:name="_Toc488706063"/>
      <w:r>
        <w:t xml:space="preserve">Figura </w:t>
      </w:r>
      <w:fldSimple w:instr=" SEQ Figura \* ARABIC ">
        <w:r w:rsidR="004C240D">
          <w:rPr>
            <w:noProof/>
          </w:rPr>
          <w:t>22</w:t>
        </w:r>
      </w:fldSimple>
      <w:r w:rsidRPr="00585600">
        <w:t xml:space="preserve"> - Potência normalizada das soluções de Goma Guar para C = </w:t>
      </w:r>
      <w:r>
        <w:t>20</w:t>
      </w:r>
      <w:r w:rsidRPr="00585600">
        <w:t>0 ppm.</w:t>
      </w:r>
      <w:bookmarkEnd w:id="140"/>
    </w:p>
    <w:p w:rsidR="005A4095" w:rsidRDefault="005A4095" w:rsidP="00A16BA1">
      <w:pPr>
        <w:jc w:val="center"/>
      </w:pPr>
      <w:r w:rsidRPr="005A4095">
        <w:rPr>
          <w:noProof/>
          <w:lang w:eastAsia="pt-BR"/>
        </w:rPr>
        <w:drawing>
          <wp:inline distT="0" distB="0" distL="0" distR="0" wp14:anchorId="47E56AA4" wp14:editId="473900BA">
            <wp:extent cx="3432876" cy="3312000"/>
            <wp:effectExtent l="0" t="0" r="0" b="3175"/>
            <wp:docPr id="32" name="Imagem 32" descr="C:\Users\Jhonnilo\Google Drive\PG UFES\Drag Reduction\Testes\Graficos\Export\p guar 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honnilo\Google Drive\PG UFES\Drag Reduction\Testes\Graficos\Export\p guar 20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32876" cy="3312000"/>
                    </a:xfrm>
                    <a:prstGeom prst="rect">
                      <a:avLst/>
                    </a:prstGeom>
                    <a:noFill/>
                    <a:ln>
                      <a:noFill/>
                    </a:ln>
                  </pic:spPr>
                </pic:pic>
              </a:graphicData>
            </a:graphic>
          </wp:inline>
        </w:drawing>
      </w:r>
      <w:r w:rsidR="00796B02">
        <w:tab/>
      </w:r>
      <w:r w:rsidR="00796B02">
        <w:tab/>
      </w:r>
    </w:p>
    <w:p w:rsidR="00796B02" w:rsidRDefault="00796B02" w:rsidP="00796B02">
      <w:pPr>
        <w:jc w:val="center"/>
      </w:pPr>
      <w:r>
        <w:t>Fonte: Autoria própria</w:t>
      </w:r>
    </w:p>
    <w:p w:rsidR="005A4095" w:rsidRDefault="005A4095" w:rsidP="00062399">
      <w:pPr>
        <w:jc w:val="left"/>
      </w:pPr>
    </w:p>
    <w:p w:rsidR="00121D84" w:rsidRDefault="00121D84" w:rsidP="00A16BA1">
      <w:pPr>
        <w:pStyle w:val="Nvel2-PG"/>
      </w:pPr>
      <w:bookmarkStart w:id="141" w:name="_Toc488678374"/>
      <w:r w:rsidRPr="00952F5B">
        <w:t>4.</w:t>
      </w:r>
      <w:r>
        <w:t>3</w:t>
      </w:r>
      <w:r w:rsidRPr="00952F5B">
        <w:t xml:space="preserve"> Ensaios com </w:t>
      </w:r>
      <w:r>
        <w:t>PEO</w:t>
      </w:r>
      <w:bookmarkEnd w:id="141"/>
    </w:p>
    <w:p w:rsidR="00BC6BA5" w:rsidRDefault="0058448B" w:rsidP="00BC6BA5">
      <w:r>
        <w:t xml:space="preserve">De forma análoga aos </w:t>
      </w:r>
      <w:r w:rsidR="007817BA">
        <w:t xml:space="preserve">experimentos com Goma Guar, </w:t>
      </w:r>
      <w:r w:rsidR="00BC6BA5">
        <w:t>o</w:t>
      </w:r>
      <w:r w:rsidR="00BC6BA5" w:rsidRPr="00952F5B">
        <w:t xml:space="preserve">s resultados </w:t>
      </w:r>
      <w:r w:rsidR="007817BA">
        <w:t xml:space="preserve">das soluções de PEO são apresentados com </w:t>
      </w:r>
      <m:oMath>
        <m:r>
          <w:rPr>
            <w:rFonts w:ascii="Cambria Math" w:hAnsi="Cambria Math"/>
          </w:rPr>
          <m:t>Re</m:t>
        </m:r>
      </m:oMath>
      <w:r w:rsidR="00C505C6">
        <w:t xml:space="preserve"> </w:t>
      </w:r>
      <w:r w:rsidR="007817BA">
        <w:t>fix</w:t>
      </w:r>
      <w:r w:rsidR="00C505C6">
        <w:t>o</w:t>
      </w:r>
      <w:r w:rsidR="007817BA">
        <w:t xml:space="preserve">, </w:t>
      </w:r>
      <w:r w:rsidR="00C505C6">
        <w:t xml:space="preserve">mostrando </w:t>
      </w:r>
      <w:r w:rsidR="004C5D70">
        <w:t>tod</w:t>
      </w:r>
      <w:r w:rsidR="007817BA">
        <w:t>as concentrações</w:t>
      </w:r>
      <w:r w:rsidR="00BC6BA5">
        <w:t xml:space="preserve">. </w:t>
      </w:r>
      <w:r w:rsidR="003821FC">
        <w:t xml:space="preserve">Após o tratamento dos dados </w:t>
      </w:r>
      <w:r w:rsidR="003C0E22">
        <w:t xml:space="preserve">dos experimentos com PEO, identificou-se que alguns </w:t>
      </w:r>
      <w:r w:rsidR="007817BA">
        <w:t>resultados de fator de atrito e</w:t>
      </w:r>
      <w:r w:rsidR="00BC6BA5">
        <w:t xml:space="preserve"> </w:t>
      </w:r>
      <w:r w:rsidR="004C5D70">
        <w:t xml:space="preserve">de </w:t>
      </w:r>
      <w:r w:rsidR="00BC6BA5">
        <w:t>redução d</w:t>
      </w:r>
      <w:r w:rsidR="00FE423B">
        <w:t xml:space="preserve">e arraste </w:t>
      </w:r>
      <w:r w:rsidR="003C0E22">
        <w:t>não representam com fidelidade a tendência esperada para as curvas, possivelmente devido a interferências na coleta de dado</w:t>
      </w:r>
      <w:r w:rsidR="004C5D70">
        <w:t>s</w:t>
      </w:r>
      <w:r w:rsidR="003C0E22">
        <w:t xml:space="preserve"> dos transdutores de pressão, pois os dados </w:t>
      </w:r>
      <w:r w:rsidR="00062399">
        <w:t xml:space="preserve">de potência ativa instantânea </w:t>
      </w:r>
      <w:r w:rsidR="00FE423B">
        <w:t>adquiridos através do multimedidor</w:t>
      </w:r>
      <w:r w:rsidR="003C0E22">
        <w:t xml:space="preserve"> aparentam estar dentro da normalidade</w:t>
      </w:r>
      <w:r w:rsidR="00BC6BA5">
        <w:t>.</w:t>
      </w:r>
      <w:r w:rsidR="005D4E46">
        <w:t xml:space="preserve"> Tendo isso em vista</w:t>
      </w:r>
      <w:r w:rsidR="003977E9">
        <w:rPr>
          <w:rFonts w:eastAsiaTheme="minorEastAsia"/>
        </w:rPr>
        <w:t xml:space="preserve">, discussões </w:t>
      </w:r>
      <w:r w:rsidR="005D4E46">
        <w:rPr>
          <w:rFonts w:eastAsiaTheme="minorEastAsia"/>
        </w:rPr>
        <w:t xml:space="preserve">mais conclusivas </w:t>
      </w:r>
      <w:r w:rsidR="003977E9">
        <w:rPr>
          <w:rFonts w:eastAsiaTheme="minorEastAsia"/>
        </w:rPr>
        <w:t>serão realizadas com base nos dados de potência ativa normalizada,</w:t>
      </w:r>
      <w:r w:rsidR="00A15B48">
        <w:rPr>
          <w:rFonts w:eastAsiaTheme="minorEastAsia"/>
        </w:rPr>
        <w:t xml:space="preserve"> apresentados no item 4.3.2</w:t>
      </w:r>
      <w:r w:rsidR="00FE423B">
        <w:t>.</w:t>
      </w:r>
    </w:p>
    <w:p w:rsidR="00FE423B" w:rsidRDefault="00FE423B" w:rsidP="00182C81">
      <w:pPr>
        <w:pStyle w:val="Nvel3-PG"/>
        <w:tabs>
          <w:tab w:val="left" w:pos="5774"/>
        </w:tabs>
      </w:pPr>
    </w:p>
    <w:p w:rsidR="001F5D5E" w:rsidRDefault="001F5D5E" w:rsidP="001F5D5E">
      <w:pPr>
        <w:pStyle w:val="Nvel3-PG"/>
        <w:tabs>
          <w:tab w:val="left" w:pos="5774"/>
        </w:tabs>
      </w:pPr>
      <w:bookmarkStart w:id="142" w:name="_Toc488678375"/>
      <w:r>
        <w:t>4.3.1</w:t>
      </w:r>
      <w:r w:rsidRPr="00952F5B">
        <w:t xml:space="preserve"> </w:t>
      </w:r>
      <w:r>
        <w:t>Efeito das soluções no fator de atrito e DR%</w:t>
      </w:r>
      <w:bookmarkEnd w:id="142"/>
    </w:p>
    <w:p w:rsidR="00515A7B" w:rsidRDefault="00B77F0A" w:rsidP="00A15B48">
      <w:r w:rsidRPr="003139F3">
        <w:lastRenderedPageBreak/>
        <w:t>As</w:t>
      </w:r>
      <w:r w:rsidR="00062399">
        <w:t xml:space="preserve"> Figuras 23 a 26</w:t>
      </w:r>
      <w:r w:rsidR="00515A7B">
        <w:t xml:space="preserve"> </w:t>
      </w:r>
      <w:r w:rsidRPr="003139F3">
        <w:t xml:space="preserve">apresentam as curvas de fator de atrito e redução de arraste ao longo do tempo das diferentes </w:t>
      </w:r>
      <w:r>
        <w:t xml:space="preserve">concentrações </w:t>
      </w:r>
      <w:r w:rsidR="00F77F0D">
        <w:t xml:space="preserve">ensaiadas </w:t>
      </w:r>
      <w:r>
        <w:t xml:space="preserve">de </w:t>
      </w:r>
      <w:r w:rsidR="00F77F0D">
        <w:t xml:space="preserve">PEO </w:t>
      </w:r>
      <w:bookmarkStart w:id="143" w:name="_Ref488265740"/>
      <w:r w:rsidR="00275C2B">
        <w:t>nos números de Reynolds definido</w:t>
      </w:r>
      <w:r w:rsidR="00A15B48">
        <w:t>s para os ensaios.</w:t>
      </w:r>
    </w:p>
    <w:p w:rsidR="00515A7B" w:rsidRDefault="00515A7B" w:rsidP="00515A7B">
      <w:pPr>
        <w:pStyle w:val="Figura-PG"/>
      </w:pPr>
    </w:p>
    <w:p w:rsidR="002755B6" w:rsidRDefault="002755B6" w:rsidP="00515A7B">
      <w:pPr>
        <w:pStyle w:val="Figura-PG"/>
      </w:pPr>
      <w:bookmarkStart w:id="144" w:name="_Toc488706064"/>
      <w:r>
        <w:t xml:space="preserve">Figura </w:t>
      </w:r>
      <w:fldSimple w:instr=" SEQ Figura \* ARABIC ">
        <w:r w:rsidR="004C240D">
          <w:rPr>
            <w:noProof/>
          </w:rPr>
          <w:t>23</w:t>
        </w:r>
      </w:fldSimple>
      <w:bookmarkEnd w:id="143"/>
      <w:r w:rsidR="004C1967">
        <w:rPr>
          <w:noProof/>
        </w:rPr>
        <w:t xml:space="preserve"> -</w:t>
      </w:r>
      <w:r w:rsidRPr="008122E3">
        <w:t xml:space="preserve"> Fator de atrito das soluções de PEO para </w:t>
      </w:r>
      <w:r w:rsidR="0050241D">
        <w:t xml:space="preserve">Re = 34000; </w:t>
      </w:r>
      <w:r w:rsidRPr="008122E3">
        <w:t xml:space="preserve">Q = </w:t>
      </w:r>
      <w:r>
        <w:t>2</w:t>
      </w:r>
      <w:r w:rsidRPr="008122E3">
        <w:t xml:space="preserve"> m³/h.</w:t>
      </w:r>
      <w:bookmarkEnd w:id="144"/>
    </w:p>
    <w:p w:rsidR="001E24EE" w:rsidRDefault="004C1967" w:rsidP="00A017BA">
      <w:pPr>
        <w:jc w:val="center"/>
      </w:pPr>
      <w:r w:rsidRPr="004C1967">
        <w:rPr>
          <w:noProof/>
          <w:lang w:eastAsia="pt-BR"/>
        </w:rPr>
        <w:drawing>
          <wp:inline distT="0" distB="0" distL="0" distR="0" wp14:anchorId="70DDAFAA" wp14:editId="03A913A2">
            <wp:extent cx="4105051" cy="3852000"/>
            <wp:effectExtent l="0" t="0" r="0" b="0"/>
            <wp:docPr id="35" name="Imagem 35" descr="C:\Users\Jhonnilo\Google Drive\PG UFES\Drag Reduction\Testes\Graficos\Export\f pe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honnilo\Google Drive\PG UFES\Drag Reduction\Testes\Graficos\Export\f peo 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05051" cy="3852000"/>
                    </a:xfrm>
                    <a:prstGeom prst="rect">
                      <a:avLst/>
                    </a:prstGeom>
                    <a:noFill/>
                    <a:ln>
                      <a:noFill/>
                    </a:ln>
                  </pic:spPr>
                </pic:pic>
              </a:graphicData>
            </a:graphic>
          </wp:inline>
        </w:drawing>
      </w:r>
      <w:r>
        <w:tab/>
      </w:r>
      <w:r>
        <w:tab/>
      </w:r>
    </w:p>
    <w:p w:rsidR="00515A7B" w:rsidRDefault="00515A7B" w:rsidP="00515A7B">
      <w:pPr>
        <w:jc w:val="center"/>
      </w:pPr>
      <w:r>
        <w:t>Fonte: Autoria própria</w:t>
      </w:r>
    </w:p>
    <w:p w:rsidR="00062399" w:rsidRDefault="00062399" w:rsidP="00062399">
      <w:pPr>
        <w:pStyle w:val="Figura-PG"/>
      </w:pPr>
      <w:bookmarkStart w:id="145" w:name="_Ref488265743"/>
      <w:bookmarkStart w:id="146" w:name="_Toc488706065"/>
      <w:r>
        <w:t xml:space="preserve">Figura </w:t>
      </w:r>
      <w:fldSimple w:instr=" SEQ Figura \* ARABIC ">
        <w:r w:rsidR="004C240D">
          <w:rPr>
            <w:noProof/>
          </w:rPr>
          <w:t>24</w:t>
        </w:r>
      </w:fldSimple>
      <w:bookmarkEnd w:id="145"/>
      <w:r>
        <w:t xml:space="preserve"> - Fator de atrito das soluções de PEO p</w:t>
      </w:r>
      <w:r w:rsidRPr="000539AA">
        <w:t xml:space="preserve">ara </w:t>
      </w:r>
      <w:r>
        <w:t xml:space="preserve">Re = 68000; </w:t>
      </w:r>
      <w:r w:rsidRPr="000539AA">
        <w:t>Q = 4 m³/h.</w:t>
      </w:r>
      <w:bookmarkEnd w:id="146"/>
    </w:p>
    <w:p w:rsidR="00062399" w:rsidRDefault="00062399" w:rsidP="00062399">
      <w:pPr>
        <w:jc w:val="center"/>
      </w:pPr>
      <w:r w:rsidRPr="004C1967">
        <w:rPr>
          <w:noProof/>
          <w:lang w:eastAsia="pt-BR"/>
        </w:rPr>
        <w:lastRenderedPageBreak/>
        <w:drawing>
          <wp:inline distT="0" distB="0" distL="0" distR="0" wp14:anchorId="63006EE0" wp14:editId="22AA6437">
            <wp:extent cx="4105051" cy="3852000"/>
            <wp:effectExtent l="0" t="0" r="0" b="0"/>
            <wp:docPr id="37" name="Imagem 37" descr="C:\Users\Jhonnilo\Google Drive\PG UFES\Drag Reduction\Testes\Graficos\Export\f peo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honnilo\Google Drive\PG UFES\Drag Reduction\Testes\Graficos\Export\f peo 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05051" cy="3852000"/>
                    </a:xfrm>
                    <a:prstGeom prst="rect">
                      <a:avLst/>
                    </a:prstGeom>
                    <a:noFill/>
                    <a:ln>
                      <a:noFill/>
                    </a:ln>
                  </pic:spPr>
                </pic:pic>
              </a:graphicData>
            </a:graphic>
          </wp:inline>
        </w:drawing>
      </w:r>
      <w:r>
        <w:tab/>
      </w:r>
    </w:p>
    <w:p w:rsidR="00062399" w:rsidRDefault="00062399" w:rsidP="00062399">
      <w:pPr>
        <w:tabs>
          <w:tab w:val="center" w:pos="4535"/>
        </w:tabs>
      </w:pPr>
      <w:r>
        <w:tab/>
        <w:t>Fonte: Autoria própria</w:t>
      </w:r>
    </w:p>
    <w:p w:rsidR="002755B6" w:rsidRDefault="002755B6" w:rsidP="00515A7B">
      <w:pPr>
        <w:pStyle w:val="Figura-PG"/>
      </w:pPr>
      <w:bookmarkStart w:id="147" w:name="_Ref488265741"/>
      <w:bookmarkStart w:id="148" w:name="_Toc488706066"/>
      <w:r>
        <w:t xml:space="preserve">Figura </w:t>
      </w:r>
      <w:fldSimple w:instr=" SEQ Figura \* ARABIC ">
        <w:r w:rsidR="004C240D">
          <w:rPr>
            <w:noProof/>
          </w:rPr>
          <w:t>25</w:t>
        </w:r>
      </w:fldSimple>
      <w:bookmarkEnd w:id="147"/>
      <w:r w:rsidR="004C1967">
        <w:t xml:space="preserve"> - </w:t>
      </w:r>
      <w:r w:rsidRPr="005A2232">
        <w:t xml:space="preserve">Redução de arraste percentual das </w:t>
      </w:r>
      <w:r>
        <w:t xml:space="preserve">soluções de PEO para </w:t>
      </w:r>
      <w:r w:rsidR="004C1967">
        <w:t xml:space="preserve">Re = 34000; </w:t>
      </w:r>
      <w:r>
        <w:t>Q = 2</w:t>
      </w:r>
      <w:r w:rsidRPr="005A2232">
        <w:t xml:space="preserve"> m³/h.</w:t>
      </w:r>
      <w:bookmarkEnd w:id="148"/>
    </w:p>
    <w:p w:rsidR="00887065" w:rsidRDefault="004C1967" w:rsidP="00A017BA">
      <w:pPr>
        <w:jc w:val="center"/>
      </w:pPr>
      <w:r w:rsidRPr="004C1967">
        <w:rPr>
          <w:noProof/>
          <w:lang w:eastAsia="pt-BR"/>
        </w:rPr>
        <w:drawing>
          <wp:inline distT="0" distB="0" distL="0" distR="0" wp14:anchorId="0862DF88" wp14:editId="5426284A">
            <wp:extent cx="3992584" cy="3852000"/>
            <wp:effectExtent l="0" t="0" r="8255" b="0"/>
            <wp:docPr id="36" name="Imagem 36" descr="C:\Users\Jhonnilo\Google Drive\PG UFES\Drag Reduction\Testes\Graficos\Export\dr pe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honnilo\Google Drive\PG UFES\Drag Reduction\Testes\Graficos\Export\dr peo 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92584" cy="3852000"/>
                    </a:xfrm>
                    <a:prstGeom prst="rect">
                      <a:avLst/>
                    </a:prstGeom>
                    <a:noFill/>
                    <a:ln>
                      <a:noFill/>
                    </a:ln>
                  </pic:spPr>
                </pic:pic>
              </a:graphicData>
            </a:graphic>
          </wp:inline>
        </w:drawing>
      </w:r>
      <w:r>
        <w:tab/>
      </w:r>
    </w:p>
    <w:p w:rsidR="00515A7B" w:rsidRDefault="00515A7B" w:rsidP="00515A7B">
      <w:pPr>
        <w:jc w:val="center"/>
      </w:pPr>
      <w:r>
        <w:t>Fonte: Autoria própria</w:t>
      </w:r>
    </w:p>
    <w:p w:rsidR="002755B6" w:rsidRDefault="002755B6" w:rsidP="00515A7B">
      <w:pPr>
        <w:pStyle w:val="Figura-PG"/>
      </w:pPr>
      <w:bookmarkStart w:id="149" w:name="_Ref488265744"/>
      <w:bookmarkStart w:id="150" w:name="_Toc488706067"/>
      <w:r>
        <w:lastRenderedPageBreak/>
        <w:t xml:space="preserve">Figura </w:t>
      </w:r>
      <w:fldSimple w:instr=" SEQ Figura \* ARABIC ">
        <w:r w:rsidR="004C240D">
          <w:rPr>
            <w:noProof/>
          </w:rPr>
          <w:t>26</w:t>
        </w:r>
      </w:fldSimple>
      <w:bookmarkEnd w:id="149"/>
      <w:r w:rsidR="004C1967">
        <w:t xml:space="preserve"> -</w:t>
      </w:r>
      <w:r>
        <w:t xml:space="preserve"> </w:t>
      </w:r>
      <w:r w:rsidRPr="00395410">
        <w:t xml:space="preserve">Redução de arraste percentual das soluções de PEO para </w:t>
      </w:r>
      <w:r w:rsidR="004C1967">
        <w:t xml:space="preserve">Re = 68000; </w:t>
      </w:r>
      <w:r w:rsidRPr="00395410">
        <w:t xml:space="preserve">Q = </w:t>
      </w:r>
      <w:r>
        <w:t>4</w:t>
      </w:r>
      <w:r w:rsidRPr="00395410">
        <w:t xml:space="preserve"> m³/h.</w:t>
      </w:r>
      <w:bookmarkEnd w:id="150"/>
    </w:p>
    <w:p w:rsidR="001F5D5E" w:rsidRDefault="004C1967" w:rsidP="00A017BA">
      <w:pPr>
        <w:jc w:val="center"/>
      </w:pPr>
      <w:r w:rsidRPr="004C1967">
        <w:rPr>
          <w:noProof/>
          <w:lang w:eastAsia="pt-BR"/>
        </w:rPr>
        <w:drawing>
          <wp:inline distT="0" distB="0" distL="0" distR="0" wp14:anchorId="5722DF6B" wp14:editId="6FE1FA03">
            <wp:extent cx="3992584" cy="3852000"/>
            <wp:effectExtent l="0" t="0" r="8255" b="0"/>
            <wp:docPr id="42" name="Imagem 42" descr="C:\Users\Jhonnilo\Google Drive\PG UFES\Drag Reduction\Testes\Graficos\Export\dr peo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honnilo\Google Drive\PG UFES\Drag Reduction\Testes\Graficos\Export\dr peo 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92584" cy="3852000"/>
                    </a:xfrm>
                    <a:prstGeom prst="rect">
                      <a:avLst/>
                    </a:prstGeom>
                    <a:noFill/>
                    <a:ln>
                      <a:noFill/>
                    </a:ln>
                  </pic:spPr>
                </pic:pic>
              </a:graphicData>
            </a:graphic>
          </wp:inline>
        </w:drawing>
      </w:r>
    </w:p>
    <w:p w:rsidR="004C1967" w:rsidRDefault="004C1967" w:rsidP="004C1967">
      <w:pPr>
        <w:tabs>
          <w:tab w:val="center" w:pos="4535"/>
        </w:tabs>
      </w:pPr>
      <w:r>
        <w:tab/>
        <w:t>Fonte: Autoria própria</w:t>
      </w:r>
    </w:p>
    <w:p w:rsidR="001F5D5E" w:rsidRDefault="001F5D5E" w:rsidP="00A017BA">
      <w:r>
        <w:t xml:space="preserve">Os dados dos experimentos de PEO, apesar de </w:t>
      </w:r>
      <w:r w:rsidR="00062399">
        <w:t>mostrar-</w:t>
      </w:r>
      <w:r>
        <w:t xml:space="preserve">se algumas vezes muito sensível a variação das medições com o transdutor, apresentou um comportamento característico identificável que se repete em todos os experimentos: a </w:t>
      </w:r>
      <w:r w:rsidR="00062399">
        <w:t>alta</w:t>
      </w:r>
      <w:r>
        <w:t xml:space="preserve"> taxa de degradação mecânica. A caracte</w:t>
      </w:r>
      <w:r w:rsidR="00CD0005">
        <w:t xml:space="preserve">rística estrutural flexível do polímero </w:t>
      </w:r>
      <w:r>
        <w:t>o torna mais sensível à influência das bombas centrífugas</w:t>
      </w:r>
      <w:r w:rsidR="00416779">
        <w:t xml:space="preserve"> [36</w:t>
      </w:r>
      <w:r w:rsidR="00A76C64">
        <w:t>]</w:t>
      </w:r>
      <w:r>
        <w:t xml:space="preserve">. Outro fator perceptível ao se comparar os gráficos a </w:t>
      </w:r>
      <m:oMath>
        <m:r>
          <w:rPr>
            <w:rFonts w:ascii="Cambria Math" w:hAnsi="Cambria Math"/>
          </w:rPr>
          <m:t>Re = 34000</m:t>
        </m:r>
      </m:oMath>
      <w:r>
        <w:t xml:space="preserve"> aos de </w:t>
      </w:r>
      <m:oMath>
        <m:r>
          <w:rPr>
            <w:rFonts w:ascii="Cambria Math" w:hAnsi="Cambria Math"/>
          </w:rPr>
          <m:t>Re = 68000</m:t>
        </m:r>
      </m:oMath>
      <w:r>
        <w:t xml:space="preserve"> é a velocidade em que ocorre a degradação.</w:t>
      </w:r>
      <w:r w:rsidR="0037019F">
        <w:t xml:space="preserve"> Observa-se que o tempo necessário para as curvas de fator de atrito das soluções a 2 m³/h se tornarem próximas à assíntota de Blasius é de cerca de 30 minutos, enquanto este tempo para a vazão de 4 m³/h é de cerca de 15 minutos. Esta característica pode ser explicada pelo efeito de guilhotina [3</w:t>
      </w:r>
      <w:r w:rsidR="005A1E88">
        <w:t>6</w:t>
      </w:r>
      <w:r w:rsidR="0037019F">
        <w:t>] que ocorre nas pás dos rotores da bomba centrífuga, acarretando também em uma alta turbulência do escoamento nesta região, acelerando a degradação do polímero</w:t>
      </w:r>
      <w:r w:rsidR="00033565">
        <w:t xml:space="preserve">. Com o aumento de </w:t>
      </w:r>
      <m:oMath>
        <m:r>
          <w:rPr>
            <w:rFonts w:ascii="Cambria Math" w:hAnsi="Cambria Math"/>
          </w:rPr>
          <m:t>Re</m:t>
        </m:r>
      </m:oMath>
      <w:r w:rsidR="00033565">
        <w:rPr>
          <w:rFonts w:eastAsiaTheme="minorEastAsia"/>
        </w:rPr>
        <w:t xml:space="preserve"> </w:t>
      </w:r>
      <w:r w:rsidR="0037019F">
        <w:t>a solução passará mais vezes pela bomba,</w:t>
      </w:r>
      <w:r w:rsidR="00033565">
        <w:t xml:space="preserve"> que produzirá tensões de cisalhamento maiores sob o fluido devido a maior rotação,</w:t>
      </w:r>
      <w:r w:rsidR="0037019F">
        <w:t xml:space="preserve"> o que aumentará a probabilidade das moléculas de polímero colidirem com as partes móveis da bomba e se degradarem.</w:t>
      </w:r>
    </w:p>
    <w:p w:rsidR="00887065" w:rsidRPr="00C91A0F" w:rsidRDefault="00AF2242" w:rsidP="00A017BA">
      <w:r w:rsidRPr="00C91A0F">
        <w:lastRenderedPageBreak/>
        <w:t>Todavia, como relatado no início da seção 4.3, os transdutores de pressão apresentaram flutuações</w:t>
      </w:r>
      <w:r w:rsidR="006230B0" w:rsidRPr="00C91A0F">
        <w:t>. Somado a isto, ainda estão as incertezas de cada variável medida que compõe o cálculo do fator de atrito. Logo acredita-se que uma análise por meio dos valores adquiridos de potência seja mai</w:t>
      </w:r>
      <w:r w:rsidR="001F01E2">
        <w:t>s confiável, pois esta variável</w:t>
      </w:r>
      <w:r w:rsidR="006230B0" w:rsidRPr="00C91A0F">
        <w:t xml:space="preserve"> é adquirida diretamente pelo instrumento, conferindo maior confiabilidade nos dados reproduzidos graficamente a seguir.</w:t>
      </w:r>
    </w:p>
    <w:p w:rsidR="001F01E2" w:rsidRDefault="001F01E2" w:rsidP="002B0601">
      <w:pPr>
        <w:pStyle w:val="Nvel3-PG"/>
        <w:tabs>
          <w:tab w:val="left" w:pos="5774"/>
        </w:tabs>
      </w:pPr>
    </w:p>
    <w:p w:rsidR="002B0601" w:rsidRDefault="002B0601" w:rsidP="002B0601">
      <w:pPr>
        <w:pStyle w:val="Nvel3-PG"/>
        <w:tabs>
          <w:tab w:val="left" w:pos="5774"/>
        </w:tabs>
      </w:pPr>
      <w:bookmarkStart w:id="151" w:name="_Toc488678376"/>
      <w:r w:rsidRPr="00952F5B">
        <w:t>4.</w:t>
      </w:r>
      <w:r>
        <w:t>3.2</w:t>
      </w:r>
      <w:r w:rsidRPr="00952F5B">
        <w:t xml:space="preserve"> </w:t>
      </w:r>
      <w:r>
        <w:t>Efeito das soluções na potência ativa consumida</w:t>
      </w:r>
      <w:bookmarkEnd w:id="151"/>
    </w:p>
    <w:p w:rsidR="00DF3C5E" w:rsidRDefault="00DF3C5E" w:rsidP="00DF3C5E">
      <w:r>
        <w:t xml:space="preserve">As Figuras 27 e 28 apresentam os dados de potência ativa normalizada ao longo do tempo para as soluções de PEO em ambos os </w:t>
      </w:r>
      <m:oMath>
        <m:r>
          <w:rPr>
            <w:rFonts w:ascii="Cambria Math" w:hAnsi="Cambria Math"/>
          </w:rPr>
          <m:t>Re</m:t>
        </m:r>
      </m:oMath>
      <w:r>
        <w:rPr>
          <w:rFonts w:eastAsiaTheme="minorEastAsia"/>
        </w:rPr>
        <w:t>, respectivamente</w:t>
      </w:r>
      <w:r>
        <w:t>.</w:t>
      </w:r>
    </w:p>
    <w:p w:rsidR="00805B7A" w:rsidRDefault="00DF3C5E" w:rsidP="00DF3C5E">
      <w:pPr>
        <w:rPr>
          <w:rFonts w:eastAsiaTheme="minorEastAsia"/>
        </w:rPr>
      </w:pPr>
      <w:r>
        <w:t xml:space="preserve">Novamente, é possível identificar na primeira hora de teste para todas as curvas a acelerada degradação mecânica que ocorre com o polímero. Além disso, na Figura 27 percebe-se que o efeito da concentração não altera significativamente o comportamento da curva no </w:t>
      </w:r>
      <m:oMath>
        <m:r>
          <w:rPr>
            <w:rFonts w:ascii="Cambria Math" w:hAnsi="Cambria Math"/>
          </w:rPr>
          <m:t>Re</m:t>
        </m:r>
      </m:oMath>
      <w:r>
        <w:rPr>
          <w:rFonts w:eastAsiaTheme="minorEastAsia"/>
        </w:rPr>
        <w:t xml:space="preserve"> mais baixo logo no início do teste, onde ainda há pouca degradação, o que nos permite dizer que a máxima economia de potência (e também redução de arraste) que pode ser obtida com o PEO </w:t>
      </w:r>
      <w:r w:rsidR="00805B7A">
        <w:rPr>
          <w:rFonts w:eastAsiaTheme="minorEastAsia"/>
        </w:rPr>
        <w:t>nesta configuração (</w:t>
      </w:r>
      <m:oMath>
        <m:r>
          <w:rPr>
            <w:rFonts w:ascii="Cambria Math" w:eastAsiaTheme="minorEastAsia" w:hAnsi="Cambria Math"/>
          </w:rPr>
          <m:t>Re; Q</m:t>
        </m:r>
      </m:oMath>
      <w:r w:rsidR="00805B7A">
        <w:rPr>
          <w:rFonts w:eastAsiaTheme="minorEastAsia"/>
        </w:rPr>
        <w:t>) pode ser alcançada com a solução de menor concentração. Todavia, ao longo do teste a diferença de concentração tem papel um pouco mais evidente na economia de potência, pois a medida em que as soluções vão se degradando, a proporção de moléculas não degradadas (que de fato promovem a redução de arraste) presentes nas soluções se torna maior nas soluções de concentração mais elevada.</w:t>
      </w:r>
    </w:p>
    <w:p w:rsidR="00EB1786" w:rsidRPr="00805B7A" w:rsidRDefault="00EB1786" w:rsidP="00DF3C5E">
      <w:pPr>
        <w:rPr>
          <w:rFonts w:eastAsiaTheme="minorEastAsia"/>
        </w:rPr>
      </w:pPr>
      <w:r>
        <w:rPr>
          <w:rFonts w:eastAsiaTheme="minorEastAsia"/>
        </w:rPr>
        <w:t>Estes gráficos torna</w:t>
      </w:r>
      <w:r w:rsidR="00481D00">
        <w:rPr>
          <w:rFonts w:eastAsiaTheme="minorEastAsia"/>
        </w:rPr>
        <w:t xml:space="preserve">m possível </w:t>
      </w:r>
      <w:r>
        <w:rPr>
          <w:rFonts w:eastAsiaTheme="minorEastAsia"/>
        </w:rPr>
        <w:t>a</w:t>
      </w:r>
      <w:r w:rsidR="00481D00">
        <w:rPr>
          <w:rFonts w:eastAsiaTheme="minorEastAsia"/>
        </w:rPr>
        <w:t xml:space="preserve"> identificação de </w:t>
      </w:r>
      <w:r>
        <w:rPr>
          <w:rFonts w:eastAsiaTheme="minorEastAsia"/>
        </w:rPr>
        <w:t>uma assíntota de redução no consumo de potência</w:t>
      </w:r>
      <w:r w:rsidR="000F5ED4">
        <w:rPr>
          <w:rFonts w:eastAsiaTheme="minorEastAsia"/>
        </w:rPr>
        <w:t xml:space="preserve"> (lê-se também redução de arraste)</w:t>
      </w:r>
      <w:r>
        <w:rPr>
          <w:rFonts w:eastAsiaTheme="minorEastAsia"/>
        </w:rPr>
        <w:t xml:space="preserve">, o que não foi possível analisar nos gráficos de </w:t>
      </w:r>
      <m:oMath>
        <m:r>
          <w:rPr>
            <w:rFonts w:ascii="Cambria Math" w:eastAsiaTheme="minorEastAsia" w:hAnsi="Cambria Math"/>
          </w:rPr>
          <m:t>DR%</m:t>
        </m:r>
      </m:oMath>
      <w:r w:rsidR="005F6593">
        <w:rPr>
          <w:rFonts w:eastAsiaTheme="minorEastAsia"/>
        </w:rPr>
        <w:t xml:space="preserve"> </w:t>
      </w:r>
      <w:r>
        <w:rPr>
          <w:rFonts w:eastAsiaTheme="minorEastAsia"/>
        </w:rPr>
        <w:t xml:space="preserve">e fator de atrito devido às inconsistências neles presentes. </w:t>
      </w:r>
    </w:p>
    <w:p w:rsidR="0051213F" w:rsidRDefault="0051213F" w:rsidP="00C91A0F">
      <w:pPr>
        <w:pStyle w:val="Figura-PG"/>
      </w:pPr>
      <w:bookmarkStart w:id="152" w:name="_Toc488706068"/>
      <w:r>
        <w:t xml:space="preserve">Figura </w:t>
      </w:r>
      <w:fldSimple w:instr=" SEQ Figura \* ARABIC ">
        <w:r w:rsidR="004C240D">
          <w:rPr>
            <w:noProof/>
          </w:rPr>
          <w:t>27</w:t>
        </w:r>
      </w:fldSimple>
      <w:r w:rsidR="004C1967">
        <w:t xml:space="preserve"> -</w:t>
      </w:r>
      <w:r w:rsidRPr="00366E31">
        <w:t xml:space="preserve"> Potênc</w:t>
      </w:r>
      <w:r>
        <w:t>ia normalizada das soluções de PEO</w:t>
      </w:r>
      <w:r w:rsidRPr="00366E31">
        <w:t xml:space="preserve"> para</w:t>
      </w:r>
      <w:r w:rsidR="004C1967">
        <w:t xml:space="preserve"> Re = 34000;</w:t>
      </w:r>
      <w:r w:rsidRPr="00366E31">
        <w:t xml:space="preserve"> Q = 2 m³/h.</w:t>
      </w:r>
      <w:bookmarkEnd w:id="152"/>
    </w:p>
    <w:p w:rsidR="00F13CCE" w:rsidRDefault="004C1967" w:rsidP="00A16BA1">
      <w:pPr>
        <w:jc w:val="center"/>
      </w:pPr>
      <w:r w:rsidRPr="004C1967">
        <w:rPr>
          <w:noProof/>
          <w:lang w:eastAsia="pt-BR"/>
        </w:rPr>
        <w:lastRenderedPageBreak/>
        <w:drawing>
          <wp:inline distT="0" distB="0" distL="0" distR="0" wp14:anchorId="4B4145BE" wp14:editId="221D5F38">
            <wp:extent cx="3384525" cy="3312000"/>
            <wp:effectExtent l="0" t="0" r="6985" b="3175"/>
            <wp:docPr id="48" name="Imagem 48" descr="C:\Users\Jhonnilo\Google Drive\PG UFES\Drag Reduction\Testes\Graficos\Export\p pe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honnilo\Google Drive\PG UFES\Drag Reduction\Testes\Graficos\Export\p peo 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84525" cy="3312000"/>
                    </a:xfrm>
                    <a:prstGeom prst="rect">
                      <a:avLst/>
                    </a:prstGeom>
                    <a:noFill/>
                    <a:ln>
                      <a:noFill/>
                    </a:ln>
                  </pic:spPr>
                </pic:pic>
              </a:graphicData>
            </a:graphic>
          </wp:inline>
        </w:drawing>
      </w:r>
    </w:p>
    <w:p w:rsidR="00C91A0F" w:rsidRDefault="00C91A0F" w:rsidP="00C91A0F">
      <w:pPr>
        <w:jc w:val="center"/>
      </w:pPr>
      <w:r>
        <w:t>Fonte: Autoria própria</w:t>
      </w:r>
    </w:p>
    <w:p w:rsidR="00925981" w:rsidRDefault="00925981" w:rsidP="00C91A0F">
      <w:pPr>
        <w:jc w:val="center"/>
      </w:pPr>
    </w:p>
    <w:p w:rsidR="00EB1786" w:rsidRDefault="00805B7A" w:rsidP="002A4EB6">
      <w:r>
        <w:t xml:space="preserve">Já na Figura 28, as concentrações tem um papel significativo na </w:t>
      </w:r>
      <w:r w:rsidR="002A4EB6">
        <w:t xml:space="preserve">máxima </w:t>
      </w:r>
      <w:r>
        <w:t>redução da potência ativa consumida</w:t>
      </w:r>
      <w:r w:rsidR="002A4EB6">
        <w:t xml:space="preserve"> obtida no início do teste. Neste instante, as soluções de 50, 100 e 200 ppm tiveram a capacidade de economizar 34, 36 e 40% da potência ativa demandada para o solvente, respectivamente. Ao longo da curva, é possível identificar um comportamento similar ao que ocorre com a Goma Guar, onde as soluções de menor concentração tem um desempenho próximo até a segunda hora de ensaio e similar após este tempo, enquanto a solução de maior concentração se destaca ao longo de todo o teste. Possivelmente o tempo necessário para a curva de 200 ppm se igualar às demais é superior ao que fora experimentado.</w:t>
      </w:r>
    </w:p>
    <w:p w:rsidR="0051213F" w:rsidRDefault="0051213F" w:rsidP="00C91A0F">
      <w:pPr>
        <w:pStyle w:val="Figura-PG"/>
      </w:pPr>
      <w:bookmarkStart w:id="153" w:name="_Toc488706069"/>
      <w:r>
        <w:t xml:space="preserve">Figura </w:t>
      </w:r>
      <w:fldSimple w:instr=" SEQ Figura \* ARABIC ">
        <w:r w:rsidR="004C240D">
          <w:rPr>
            <w:noProof/>
          </w:rPr>
          <w:t>28</w:t>
        </w:r>
      </w:fldSimple>
      <w:r w:rsidR="004C1967">
        <w:rPr>
          <w:noProof/>
        </w:rPr>
        <w:t xml:space="preserve"> -</w:t>
      </w:r>
      <w:r w:rsidRPr="005A3715">
        <w:t xml:space="preserve"> Potência normalizada das soluções de PEO para</w:t>
      </w:r>
      <w:r w:rsidR="004C1967">
        <w:t xml:space="preserve"> Re = 68000;</w:t>
      </w:r>
      <w:r w:rsidRPr="005A3715">
        <w:t xml:space="preserve"> Q = </w:t>
      </w:r>
      <w:r>
        <w:t>4</w:t>
      </w:r>
      <w:r w:rsidRPr="005A3715">
        <w:t xml:space="preserve"> m³/h.</w:t>
      </w:r>
      <w:bookmarkEnd w:id="153"/>
    </w:p>
    <w:p w:rsidR="00F13CCE" w:rsidRDefault="004C1967" w:rsidP="00A16BA1">
      <w:pPr>
        <w:jc w:val="center"/>
      </w:pPr>
      <w:r w:rsidRPr="004C1967">
        <w:rPr>
          <w:noProof/>
          <w:lang w:eastAsia="pt-BR"/>
        </w:rPr>
        <w:lastRenderedPageBreak/>
        <w:drawing>
          <wp:inline distT="0" distB="0" distL="0" distR="0" wp14:anchorId="5BDAAEF9" wp14:editId="6F77792B">
            <wp:extent cx="3384525" cy="3312000"/>
            <wp:effectExtent l="0" t="0" r="6985" b="3175"/>
            <wp:docPr id="50" name="Imagem 50" descr="C:\Users\Jhonnilo\Google Drive\PG UFES\Drag Reduction\Testes\Graficos\Export\p peo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honnilo\Google Drive\PG UFES\Drag Reduction\Testes\Graficos\Export\p peo 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84525" cy="3312000"/>
                    </a:xfrm>
                    <a:prstGeom prst="rect">
                      <a:avLst/>
                    </a:prstGeom>
                    <a:noFill/>
                    <a:ln>
                      <a:noFill/>
                    </a:ln>
                  </pic:spPr>
                </pic:pic>
              </a:graphicData>
            </a:graphic>
          </wp:inline>
        </w:drawing>
      </w:r>
    </w:p>
    <w:p w:rsidR="004C1967" w:rsidRDefault="00C91A0F" w:rsidP="004C1967">
      <w:pPr>
        <w:jc w:val="center"/>
      </w:pPr>
      <w:r>
        <w:t>Fonte: Autoria própria</w:t>
      </w:r>
    </w:p>
    <w:p w:rsidR="00DF3C5E" w:rsidRDefault="00DF3C5E" w:rsidP="00DF3C5E">
      <w:pPr>
        <w:jc w:val="left"/>
      </w:pPr>
    </w:p>
    <w:p w:rsidR="00535DC2" w:rsidRDefault="00535DC2" w:rsidP="00535DC2">
      <w:r>
        <w:t xml:space="preserve">Ao se comparar os resultados de mesma concentração a </w:t>
      </w:r>
      <m:oMath>
        <m:r>
          <w:rPr>
            <w:rFonts w:ascii="Cambria Math" w:hAnsi="Cambria Math"/>
          </w:rPr>
          <m:t>Re</m:t>
        </m:r>
      </m:oMath>
      <w:r>
        <w:rPr>
          <w:rFonts w:eastAsiaTheme="minorEastAsia"/>
        </w:rPr>
        <w:t xml:space="preserve"> diferentes</w:t>
      </w:r>
      <w:r>
        <w:t xml:space="preserve">, observa-se por meio da </w:t>
      </w:r>
      <w:r w:rsidR="003650D9">
        <w:fldChar w:fldCharType="begin"/>
      </w:r>
      <w:r w:rsidR="003650D9">
        <w:instrText xml:space="preserve"> REF _Ref488668618 \h </w:instrText>
      </w:r>
      <w:r w:rsidR="003650D9">
        <w:fldChar w:fldCharType="separate"/>
      </w:r>
      <w:r w:rsidR="003650D9">
        <w:t xml:space="preserve">Figura </w:t>
      </w:r>
      <w:r w:rsidR="003650D9">
        <w:rPr>
          <w:noProof/>
        </w:rPr>
        <w:t>29</w:t>
      </w:r>
      <w:r w:rsidR="003650D9">
        <w:fldChar w:fldCharType="end"/>
      </w:r>
      <w:r>
        <w:t xml:space="preserve"> que, para a curva de </w:t>
      </w:r>
      <m:oMath>
        <m:r>
          <w:rPr>
            <w:rFonts w:ascii="Cambria Math" w:hAnsi="Cambria Math"/>
          </w:rPr>
          <m:t>200 ppm</m:t>
        </m:r>
      </m:oMath>
      <w:r>
        <w:t xml:space="preserve">, há uma inversão na eficiência de redução de potência ativa normalizada em </w:t>
      </w:r>
      <m:oMath>
        <m:r>
          <w:rPr>
            <w:rFonts w:ascii="Cambria Math" w:hAnsi="Cambria Math"/>
          </w:rPr>
          <m:t>t ≈ 30 min</m:t>
        </m:r>
      </m:oMath>
      <w:r>
        <w:rPr>
          <w:rFonts w:eastAsiaTheme="minorEastAsia"/>
        </w:rPr>
        <w:t>,</w:t>
      </w:r>
      <w:r>
        <w:t xml:space="preserve"> indicando que a economia de potência ativa percentual promovida pela solução de menor </w:t>
      </w:r>
      <m:oMath>
        <m:r>
          <w:rPr>
            <w:rFonts w:ascii="Cambria Math" w:hAnsi="Cambria Math"/>
          </w:rPr>
          <m:t>Re</m:t>
        </m:r>
      </m:oMath>
      <w:r>
        <w:rPr>
          <w:rFonts w:eastAsiaTheme="minorEastAsia"/>
        </w:rPr>
        <w:t xml:space="preserve"> </w:t>
      </w:r>
      <w:r>
        <w:t xml:space="preserve">se torna rapidamente maior do que para a solução de maior </w:t>
      </w:r>
      <m:oMath>
        <m:r>
          <w:rPr>
            <w:rFonts w:ascii="Cambria Math" w:hAnsi="Cambria Math"/>
          </w:rPr>
          <m:t>Re</m:t>
        </m:r>
      </m:oMath>
      <w:r>
        <w:rPr>
          <w:rFonts w:eastAsiaTheme="minorEastAsia"/>
        </w:rPr>
        <w:t xml:space="preserve">. O mesmo é observado para as curvas de </w:t>
      </w:r>
      <m:oMath>
        <m:r>
          <w:rPr>
            <w:rFonts w:ascii="Cambria Math" w:eastAsiaTheme="minorEastAsia" w:hAnsi="Cambria Math"/>
          </w:rPr>
          <m:t>50</m:t>
        </m:r>
      </m:oMath>
      <w:r>
        <w:rPr>
          <w:rFonts w:eastAsiaTheme="minorEastAsia"/>
        </w:rPr>
        <w:t xml:space="preserve"> e </w:t>
      </w:r>
      <m:oMath>
        <m:r>
          <w:rPr>
            <w:rFonts w:ascii="Cambria Math" w:eastAsiaTheme="minorEastAsia" w:hAnsi="Cambria Math"/>
          </w:rPr>
          <m:t>100 ppm</m:t>
        </m:r>
      </m:oMath>
      <w:r>
        <w:rPr>
          <w:rFonts w:eastAsiaTheme="minorEastAsia"/>
        </w:rPr>
        <w:t xml:space="preserve">, que se diferem da curva de </w:t>
      </w:r>
      <m:oMath>
        <m:r>
          <w:rPr>
            <w:rFonts w:ascii="Cambria Math" w:eastAsiaTheme="minorEastAsia" w:hAnsi="Cambria Math"/>
          </w:rPr>
          <m:t>200 ppm</m:t>
        </m:r>
      </m:oMath>
      <w:r>
        <w:rPr>
          <w:rFonts w:eastAsiaTheme="minorEastAsia"/>
        </w:rPr>
        <w:t xml:space="preserve"> apenas pelo tempo em que esta mudança de eficiência ocorre, sendo de 15 e 20 minutos, respectivamente.</w:t>
      </w:r>
    </w:p>
    <w:p w:rsidR="00535DC2" w:rsidRDefault="00535DC2" w:rsidP="00554883">
      <w:r>
        <w:t xml:space="preserve">Conclui-se então que o PEO está muito mais suscetível ao </w:t>
      </w:r>
      <w:r w:rsidRPr="00731E0E">
        <w:t>efeito do número de Reynolds no escoamento promovido por bombeamento centrífugo</w:t>
      </w:r>
      <w:r>
        <w:t>, se comparado à Goma Guar, visto que para este último não ocorre a inversão da eficiência na redução de potência durante o tempo de teste em concentração mais elevada.</w:t>
      </w:r>
      <w:r w:rsidR="00C41BE3">
        <w:t xml:space="preserve"> Novamente, esta análise é </w:t>
      </w:r>
      <w:r w:rsidR="00554883">
        <w:t xml:space="preserve">qualitativa, pois a quantidade de potência economizada é sempre maior nas soluções escoadas a </w:t>
      </w:r>
      <m:oMath>
        <m:r>
          <w:rPr>
            <w:rFonts w:ascii="Cambria Math" w:hAnsi="Cambria Math"/>
          </w:rPr>
          <m:t>Re=68000</m:t>
        </m:r>
      </m:oMath>
      <w:r w:rsidR="00554883">
        <w:rPr>
          <w:rFonts w:eastAsiaTheme="minorEastAsia"/>
        </w:rPr>
        <w:t xml:space="preserve">, conforme visto na </w:t>
      </w:r>
      <w:r w:rsidR="00554883">
        <w:rPr>
          <w:rFonts w:eastAsiaTheme="minorEastAsia"/>
        </w:rPr>
        <w:fldChar w:fldCharType="begin"/>
      </w:r>
      <w:r w:rsidR="00554883">
        <w:rPr>
          <w:rFonts w:eastAsiaTheme="minorEastAsia"/>
        </w:rPr>
        <w:instrText xml:space="preserve"> REF _Ref488665949 \h </w:instrText>
      </w:r>
      <w:r w:rsidR="00554883">
        <w:rPr>
          <w:rFonts w:eastAsiaTheme="minorEastAsia"/>
        </w:rPr>
      </w:r>
      <w:r w:rsidR="00554883">
        <w:rPr>
          <w:rFonts w:eastAsiaTheme="minorEastAsia"/>
        </w:rPr>
        <w:fldChar w:fldCharType="separate"/>
      </w:r>
      <w:r w:rsidR="00554883" w:rsidRPr="00C91A0F">
        <w:t xml:space="preserve">Tabela </w:t>
      </w:r>
      <w:r w:rsidR="00554883">
        <w:rPr>
          <w:noProof/>
        </w:rPr>
        <w:t>5</w:t>
      </w:r>
      <w:r w:rsidR="00554883">
        <w:rPr>
          <w:rFonts w:eastAsiaTheme="minorEastAsia"/>
        </w:rPr>
        <w:fldChar w:fldCharType="end"/>
      </w:r>
      <w:r w:rsidRPr="00731E0E">
        <w:t>, que</w:t>
      </w:r>
      <w:r>
        <w:rPr>
          <w:color w:val="FF0000"/>
        </w:rPr>
        <w:t xml:space="preserve"> </w:t>
      </w:r>
      <w:r>
        <w:t>exibe os valor</w:t>
      </w:r>
      <w:r w:rsidR="00554883">
        <w:t>es de potência para cada teste.</w:t>
      </w:r>
    </w:p>
    <w:p w:rsidR="00777477" w:rsidRDefault="00777477" w:rsidP="00554883"/>
    <w:p w:rsidR="008F1BED" w:rsidRDefault="008F1BED" w:rsidP="00554883"/>
    <w:p w:rsidR="008F1BED" w:rsidRDefault="008F1BED" w:rsidP="00554883"/>
    <w:p w:rsidR="002755B6" w:rsidRDefault="002755B6" w:rsidP="00C91A0F">
      <w:pPr>
        <w:pStyle w:val="Figura-PG"/>
      </w:pPr>
      <w:bookmarkStart w:id="154" w:name="_Ref488668618"/>
      <w:bookmarkStart w:id="155" w:name="_Toc488706070"/>
      <w:r>
        <w:lastRenderedPageBreak/>
        <w:t xml:space="preserve">Figura </w:t>
      </w:r>
      <w:fldSimple w:instr=" SEQ Figura \* ARABIC ">
        <w:r w:rsidR="00E64E97">
          <w:rPr>
            <w:noProof/>
          </w:rPr>
          <w:t>29</w:t>
        </w:r>
      </w:fldSimple>
      <w:bookmarkEnd w:id="154"/>
      <w:r w:rsidR="00DF79AB">
        <w:t xml:space="preserve"> - </w:t>
      </w:r>
      <w:r w:rsidRPr="008C4171">
        <w:t>Potência normal</w:t>
      </w:r>
      <w:r w:rsidR="00DF79AB">
        <w:t>izada das soluções de PEO para C</w:t>
      </w:r>
      <w:r w:rsidRPr="008C4171">
        <w:t xml:space="preserve"> = </w:t>
      </w:r>
      <w:r>
        <w:t>20</w:t>
      </w:r>
      <w:r w:rsidRPr="008C4171">
        <w:t>0 ppm.</w:t>
      </w:r>
      <w:bookmarkEnd w:id="155"/>
    </w:p>
    <w:p w:rsidR="00F13CCE" w:rsidRDefault="00DF79AB" w:rsidP="00A16BA1">
      <w:pPr>
        <w:jc w:val="center"/>
      </w:pPr>
      <w:r w:rsidRPr="00DF79AB">
        <w:rPr>
          <w:noProof/>
          <w:lang w:eastAsia="pt-BR"/>
        </w:rPr>
        <w:drawing>
          <wp:inline distT="0" distB="0" distL="0" distR="0" wp14:anchorId="2401EB68" wp14:editId="78B0BCB6">
            <wp:extent cx="3432876" cy="3312000"/>
            <wp:effectExtent l="0" t="0" r="0" b="3175"/>
            <wp:docPr id="55" name="Imagem 55" descr="C:\Users\Jhonnilo\Google Drive\PG UFES\Drag Reduction\Testes\Graficos\Export\p peo 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honnilo\Google Drive\PG UFES\Drag Reduction\Testes\Graficos\Export\p peo 20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32876" cy="3312000"/>
                    </a:xfrm>
                    <a:prstGeom prst="rect">
                      <a:avLst/>
                    </a:prstGeom>
                    <a:noFill/>
                    <a:ln>
                      <a:noFill/>
                    </a:ln>
                  </pic:spPr>
                </pic:pic>
              </a:graphicData>
            </a:graphic>
          </wp:inline>
        </w:drawing>
      </w:r>
    </w:p>
    <w:p w:rsidR="00C91A0F" w:rsidRDefault="00C91A0F" w:rsidP="00C91A0F">
      <w:pPr>
        <w:jc w:val="center"/>
      </w:pPr>
      <w:r>
        <w:t>Fonte: Autoria própria</w:t>
      </w:r>
    </w:p>
    <w:p w:rsidR="00777477" w:rsidRDefault="00777477" w:rsidP="00C91A0F">
      <w:pPr>
        <w:jc w:val="center"/>
      </w:pPr>
    </w:p>
    <w:p w:rsidR="0050082E" w:rsidRPr="00C91A0F" w:rsidRDefault="0050082E" w:rsidP="00C91A0F">
      <w:pPr>
        <w:pStyle w:val="Tabela-PG"/>
      </w:pPr>
      <w:bookmarkStart w:id="156" w:name="_Ref488665949"/>
      <w:bookmarkStart w:id="157" w:name="_Toc488706086"/>
      <w:r w:rsidRPr="00C91A0F">
        <w:t xml:space="preserve">Tabela </w:t>
      </w:r>
      <w:fldSimple w:instr=" SEQ Tabela \* ARABIC ">
        <w:r w:rsidR="00C91A0F">
          <w:rPr>
            <w:noProof/>
          </w:rPr>
          <w:t>5</w:t>
        </w:r>
      </w:fldSimple>
      <w:bookmarkEnd w:id="156"/>
      <w:r w:rsidR="0072502C">
        <w:t xml:space="preserve"> -</w:t>
      </w:r>
      <w:r w:rsidRPr="00C91A0F">
        <w:t xml:space="preserve"> Potência ativa média para água ensaiada antes dos experimentos com PEO e potência consumida nos instantes iniciais da adição da solução.</w:t>
      </w:r>
      <w:bookmarkEnd w:id="157"/>
    </w:p>
    <w:tbl>
      <w:tblPr>
        <w:tblW w:w="9121" w:type="dxa"/>
        <w:tblLayout w:type="fixed"/>
        <w:tblCellMar>
          <w:left w:w="70" w:type="dxa"/>
          <w:right w:w="70" w:type="dxa"/>
        </w:tblCellMar>
        <w:tblLook w:val="04A0" w:firstRow="1" w:lastRow="0" w:firstColumn="1" w:lastColumn="0" w:noHBand="0" w:noVBand="1"/>
      </w:tblPr>
      <w:tblGrid>
        <w:gridCol w:w="2380"/>
        <w:gridCol w:w="1685"/>
        <w:gridCol w:w="1685"/>
        <w:gridCol w:w="62"/>
        <w:gridCol w:w="1623"/>
        <w:gridCol w:w="1686"/>
      </w:tblGrid>
      <w:tr w:rsidR="004353D2" w:rsidRPr="000F2D0C" w:rsidTr="00723209">
        <w:trPr>
          <w:trHeight w:val="340"/>
        </w:trPr>
        <w:tc>
          <w:tcPr>
            <w:tcW w:w="2380" w:type="dxa"/>
            <w:tcBorders>
              <w:top w:val="single" w:sz="4" w:space="0" w:color="auto"/>
              <w:left w:val="nil"/>
              <w:bottom w:val="single" w:sz="4" w:space="0" w:color="auto"/>
              <w:right w:val="nil"/>
            </w:tcBorders>
            <w:shd w:val="clear" w:color="auto" w:fill="auto"/>
            <w:vAlign w:val="center"/>
            <w:hideMark/>
          </w:tcPr>
          <w:p w:rsidR="004353D2" w:rsidRPr="000F2D0C" w:rsidRDefault="004353D2" w:rsidP="006040DA">
            <w:pPr>
              <w:spacing w:after="0" w:line="240" w:lineRule="auto"/>
              <w:contextualSpacing w:val="0"/>
              <w:jc w:val="center"/>
              <w:rPr>
                <w:rFonts w:eastAsia="Times New Roman" w:cs="Arial"/>
                <w:b/>
                <w:i/>
                <w:iCs/>
                <w:color w:val="000000"/>
                <w:szCs w:val="24"/>
                <w:lang w:eastAsia="pt-BR"/>
              </w:rPr>
            </w:pPr>
            <w:r w:rsidRPr="000F2D0C">
              <w:rPr>
                <w:rFonts w:eastAsia="Times New Roman" w:cs="Arial"/>
                <w:b/>
                <w:i/>
                <w:iCs/>
                <w:color w:val="000000"/>
                <w:szCs w:val="24"/>
                <w:lang w:eastAsia="pt-BR"/>
              </w:rPr>
              <w:t> </w:t>
            </w:r>
          </w:p>
        </w:tc>
        <w:tc>
          <w:tcPr>
            <w:tcW w:w="3432" w:type="dxa"/>
            <w:gridSpan w:val="3"/>
            <w:tcBorders>
              <w:top w:val="single" w:sz="4" w:space="0" w:color="auto"/>
              <w:left w:val="nil"/>
              <w:bottom w:val="single" w:sz="4" w:space="0" w:color="auto"/>
              <w:right w:val="nil"/>
            </w:tcBorders>
            <w:shd w:val="clear" w:color="auto" w:fill="auto"/>
            <w:noWrap/>
            <w:vAlign w:val="center"/>
            <w:hideMark/>
          </w:tcPr>
          <w:p w:rsidR="004353D2" w:rsidRPr="000F2D0C" w:rsidRDefault="0073641D" w:rsidP="006040DA">
            <w:pPr>
              <w:spacing w:after="0" w:line="240" w:lineRule="auto"/>
              <w:contextualSpacing w:val="0"/>
              <w:jc w:val="center"/>
              <w:rPr>
                <w:rFonts w:eastAsia="Times New Roman" w:cs="Arial"/>
                <w:b/>
                <w:i/>
                <w:iCs/>
                <w:color w:val="000000"/>
                <w:szCs w:val="24"/>
                <w:lang w:eastAsia="pt-BR"/>
              </w:rPr>
            </w:pPr>
            <w:r>
              <w:rPr>
                <w:rFonts w:eastAsia="Times New Roman" w:cs="Arial"/>
                <w:b/>
                <w:i/>
                <w:iCs/>
                <w:color w:val="000000"/>
                <w:szCs w:val="24"/>
                <w:lang w:eastAsia="pt-BR"/>
              </w:rPr>
              <w:t xml:space="preserve">Re = 34000; Q = </w:t>
            </w:r>
            <w:r w:rsidR="004353D2" w:rsidRPr="000F2D0C">
              <w:rPr>
                <w:rFonts w:eastAsia="Times New Roman" w:cs="Arial"/>
                <w:b/>
                <w:i/>
                <w:iCs/>
                <w:color w:val="000000"/>
                <w:szCs w:val="24"/>
                <w:lang w:eastAsia="pt-BR"/>
              </w:rPr>
              <w:t>2m³/h</w:t>
            </w:r>
          </w:p>
        </w:tc>
        <w:tc>
          <w:tcPr>
            <w:tcW w:w="3309" w:type="dxa"/>
            <w:gridSpan w:val="2"/>
            <w:tcBorders>
              <w:top w:val="single" w:sz="4" w:space="0" w:color="auto"/>
              <w:left w:val="nil"/>
              <w:bottom w:val="single" w:sz="4" w:space="0" w:color="auto"/>
              <w:right w:val="nil"/>
            </w:tcBorders>
            <w:shd w:val="clear" w:color="auto" w:fill="auto"/>
            <w:noWrap/>
            <w:vAlign w:val="center"/>
            <w:hideMark/>
          </w:tcPr>
          <w:p w:rsidR="004353D2" w:rsidRPr="000F2D0C" w:rsidRDefault="004353D2" w:rsidP="0073641D">
            <w:pPr>
              <w:spacing w:after="0" w:line="240" w:lineRule="auto"/>
              <w:contextualSpacing w:val="0"/>
              <w:jc w:val="center"/>
              <w:rPr>
                <w:rFonts w:eastAsia="Times New Roman" w:cs="Arial"/>
                <w:b/>
                <w:i/>
                <w:iCs/>
                <w:color w:val="000000"/>
                <w:szCs w:val="24"/>
                <w:lang w:eastAsia="pt-BR"/>
              </w:rPr>
            </w:pPr>
            <w:r w:rsidRPr="000F2D0C">
              <w:rPr>
                <w:rFonts w:eastAsia="Times New Roman" w:cs="Arial"/>
                <w:b/>
                <w:i/>
                <w:iCs/>
                <w:color w:val="000000"/>
                <w:szCs w:val="24"/>
                <w:lang w:eastAsia="pt-BR"/>
              </w:rPr>
              <w:t xml:space="preserve"> </w:t>
            </w:r>
            <w:r w:rsidR="0073641D">
              <w:rPr>
                <w:rFonts w:eastAsia="Times New Roman" w:cs="Arial"/>
                <w:b/>
                <w:i/>
                <w:iCs/>
                <w:color w:val="000000"/>
                <w:szCs w:val="24"/>
                <w:lang w:eastAsia="pt-BR"/>
              </w:rPr>
              <w:t xml:space="preserve">Re = 68000; Q = </w:t>
            </w:r>
            <w:r w:rsidRPr="000F2D0C">
              <w:rPr>
                <w:rFonts w:eastAsia="Times New Roman" w:cs="Arial"/>
                <w:b/>
                <w:i/>
                <w:iCs/>
                <w:color w:val="000000"/>
                <w:szCs w:val="24"/>
                <w:lang w:eastAsia="pt-BR"/>
              </w:rPr>
              <w:t>4m³/h</w:t>
            </w:r>
          </w:p>
        </w:tc>
      </w:tr>
      <w:tr w:rsidR="004353D2" w:rsidRPr="000F2D0C" w:rsidTr="00723209">
        <w:trPr>
          <w:trHeight w:val="340"/>
        </w:trPr>
        <w:tc>
          <w:tcPr>
            <w:tcW w:w="2380" w:type="dxa"/>
            <w:tcBorders>
              <w:top w:val="nil"/>
              <w:left w:val="nil"/>
              <w:bottom w:val="single" w:sz="4" w:space="0" w:color="auto"/>
              <w:right w:val="nil"/>
            </w:tcBorders>
            <w:shd w:val="clear" w:color="auto" w:fill="auto"/>
            <w:noWrap/>
            <w:vAlign w:val="bottom"/>
            <w:hideMark/>
          </w:tcPr>
          <w:p w:rsidR="004353D2" w:rsidRPr="000F2D0C" w:rsidRDefault="004353D2" w:rsidP="006040DA">
            <w:pPr>
              <w:spacing w:after="0" w:line="240" w:lineRule="auto"/>
              <w:contextualSpacing w:val="0"/>
              <w:jc w:val="center"/>
              <w:rPr>
                <w:rFonts w:eastAsia="Times New Roman" w:cs="Arial"/>
                <w:b/>
                <w:i/>
                <w:iCs/>
                <w:color w:val="000000"/>
                <w:szCs w:val="24"/>
                <w:lang w:eastAsia="pt-BR"/>
              </w:rPr>
            </w:pPr>
            <w:r w:rsidRPr="000F2D0C">
              <w:rPr>
                <w:rFonts w:eastAsia="Times New Roman" w:cs="Arial"/>
                <w:b/>
                <w:i/>
                <w:iCs/>
                <w:color w:val="000000"/>
                <w:szCs w:val="24"/>
                <w:lang w:eastAsia="pt-BR"/>
              </w:rPr>
              <w:t> </w:t>
            </w:r>
          </w:p>
        </w:tc>
        <w:tc>
          <w:tcPr>
            <w:tcW w:w="1685" w:type="dxa"/>
            <w:tcBorders>
              <w:top w:val="nil"/>
              <w:left w:val="nil"/>
              <w:bottom w:val="single" w:sz="4" w:space="0" w:color="auto"/>
              <w:right w:val="nil"/>
            </w:tcBorders>
            <w:shd w:val="clear" w:color="auto" w:fill="auto"/>
            <w:vAlign w:val="center"/>
            <w:hideMark/>
          </w:tcPr>
          <w:p w:rsidR="004353D2" w:rsidRPr="000F2D0C" w:rsidRDefault="004353D2" w:rsidP="006040DA">
            <w:pPr>
              <w:spacing w:after="0" w:line="240" w:lineRule="auto"/>
              <w:contextualSpacing w:val="0"/>
              <w:jc w:val="center"/>
              <w:rPr>
                <w:rFonts w:eastAsia="Times New Roman" w:cs="Arial"/>
                <w:b/>
                <w:i/>
                <w:iCs/>
                <w:color w:val="000000"/>
                <w:szCs w:val="24"/>
                <w:lang w:eastAsia="pt-BR"/>
              </w:rPr>
            </w:pPr>
            <w:r w:rsidRPr="000F2D0C">
              <w:rPr>
                <w:rFonts w:eastAsia="Times New Roman" w:cs="Arial"/>
                <w:b/>
                <w:i/>
                <w:iCs/>
                <w:color w:val="000000"/>
                <w:szCs w:val="24"/>
                <w:lang w:eastAsia="pt-BR"/>
              </w:rPr>
              <w:t xml:space="preserve">Água [W] </w:t>
            </w:r>
          </w:p>
        </w:tc>
        <w:tc>
          <w:tcPr>
            <w:tcW w:w="1685" w:type="dxa"/>
            <w:tcBorders>
              <w:top w:val="nil"/>
              <w:left w:val="nil"/>
              <w:bottom w:val="single" w:sz="4" w:space="0" w:color="auto"/>
              <w:right w:val="nil"/>
            </w:tcBorders>
            <w:shd w:val="clear" w:color="auto" w:fill="auto"/>
            <w:vAlign w:val="bottom"/>
            <w:hideMark/>
          </w:tcPr>
          <w:p w:rsidR="004353D2" w:rsidRPr="000F2D0C" w:rsidRDefault="004353D2" w:rsidP="006040DA">
            <w:pPr>
              <w:spacing w:after="0" w:line="240" w:lineRule="auto"/>
              <w:contextualSpacing w:val="0"/>
              <w:jc w:val="center"/>
              <w:rPr>
                <w:rFonts w:eastAsia="Times New Roman" w:cs="Arial"/>
                <w:b/>
                <w:i/>
                <w:iCs/>
                <w:color w:val="000000"/>
                <w:szCs w:val="24"/>
                <w:lang w:eastAsia="pt-BR"/>
              </w:rPr>
            </w:pPr>
            <w:r w:rsidRPr="000F2D0C">
              <w:rPr>
                <w:rFonts w:eastAsia="Times New Roman" w:cs="Arial"/>
                <w:b/>
                <w:i/>
                <w:iCs/>
                <w:color w:val="000000"/>
                <w:szCs w:val="24"/>
                <w:lang w:eastAsia="pt-BR"/>
              </w:rPr>
              <w:t>Pot</w:t>
            </w:r>
            <w:r>
              <w:rPr>
                <w:rFonts w:eastAsia="Times New Roman" w:cs="Arial"/>
                <w:b/>
                <w:i/>
                <w:iCs/>
                <w:color w:val="000000"/>
                <w:szCs w:val="24"/>
                <w:lang w:eastAsia="pt-BR"/>
              </w:rPr>
              <w:t>.</w:t>
            </w:r>
            <w:r w:rsidRPr="000F2D0C">
              <w:rPr>
                <w:rFonts w:eastAsia="Times New Roman" w:cs="Arial"/>
                <w:b/>
                <w:i/>
                <w:iCs/>
                <w:color w:val="000000"/>
                <w:szCs w:val="24"/>
                <w:lang w:eastAsia="pt-BR"/>
              </w:rPr>
              <w:t xml:space="preserve"> Inicial</w:t>
            </w:r>
            <w:r>
              <w:rPr>
                <w:rFonts w:eastAsia="Times New Roman" w:cs="Arial"/>
                <w:b/>
                <w:i/>
                <w:iCs/>
                <w:color w:val="000000"/>
                <w:szCs w:val="24"/>
                <w:lang w:eastAsia="pt-BR"/>
              </w:rPr>
              <w:t xml:space="preserve"> c/</w:t>
            </w:r>
            <w:r w:rsidRPr="000F2D0C">
              <w:rPr>
                <w:rFonts w:eastAsia="Times New Roman" w:cs="Arial"/>
                <w:b/>
                <w:i/>
                <w:iCs/>
                <w:color w:val="000000"/>
                <w:szCs w:val="24"/>
                <w:lang w:eastAsia="pt-BR"/>
              </w:rPr>
              <w:t xml:space="preserve"> Polímero [W] </w:t>
            </w:r>
          </w:p>
        </w:tc>
        <w:tc>
          <w:tcPr>
            <w:tcW w:w="1685" w:type="dxa"/>
            <w:gridSpan w:val="2"/>
            <w:tcBorders>
              <w:top w:val="nil"/>
              <w:left w:val="nil"/>
              <w:bottom w:val="single" w:sz="4" w:space="0" w:color="auto"/>
              <w:right w:val="nil"/>
            </w:tcBorders>
            <w:shd w:val="clear" w:color="auto" w:fill="auto"/>
            <w:vAlign w:val="center"/>
            <w:hideMark/>
          </w:tcPr>
          <w:p w:rsidR="004353D2" w:rsidRPr="000F2D0C" w:rsidRDefault="004353D2" w:rsidP="006040DA">
            <w:pPr>
              <w:spacing w:after="0" w:line="240" w:lineRule="auto"/>
              <w:contextualSpacing w:val="0"/>
              <w:jc w:val="center"/>
              <w:rPr>
                <w:rFonts w:eastAsia="Times New Roman" w:cs="Arial"/>
                <w:b/>
                <w:i/>
                <w:iCs/>
                <w:color w:val="000000"/>
                <w:szCs w:val="24"/>
                <w:lang w:eastAsia="pt-BR"/>
              </w:rPr>
            </w:pPr>
            <w:r w:rsidRPr="000F2D0C">
              <w:rPr>
                <w:rFonts w:eastAsia="Times New Roman" w:cs="Arial"/>
                <w:b/>
                <w:i/>
                <w:iCs/>
                <w:color w:val="000000"/>
                <w:szCs w:val="24"/>
                <w:lang w:eastAsia="pt-BR"/>
              </w:rPr>
              <w:t xml:space="preserve">Água [W] </w:t>
            </w:r>
          </w:p>
        </w:tc>
        <w:tc>
          <w:tcPr>
            <w:tcW w:w="1686" w:type="dxa"/>
            <w:tcBorders>
              <w:top w:val="nil"/>
              <w:left w:val="nil"/>
              <w:bottom w:val="single" w:sz="4" w:space="0" w:color="auto"/>
              <w:right w:val="nil"/>
            </w:tcBorders>
            <w:shd w:val="clear" w:color="auto" w:fill="auto"/>
            <w:vAlign w:val="bottom"/>
            <w:hideMark/>
          </w:tcPr>
          <w:p w:rsidR="004353D2" w:rsidRPr="000F2D0C" w:rsidRDefault="004353D2" w:rsidP="006040DA">
            <w:pPr>
              <w:spacing w:after="0" w:line="240" w:lineRule="auto"/>
              <w:contextualSpacing w:val="0"/>
              <w:jc w:val="center"/>
              <w:rPr>
                <w:rFonts w:eastAsia="Times New Roman" w:cs="Arial"/>
                <w:b/>
                <w:i/>
                <w:iCs/>
                <w:color w:val="000000"/>
                <w:szCs w:val="24"/>
                <w:lang w:eastAsia="pt-BR"/>
              </w:rPr>
            </w:pPr>
            <w:r w:rsidRPr="000F2D0C">
              <w:rPr>
                <w:rFonts w:eastAsia="Times New Roman" w:cs="Arial"/>
                <w:b/>
                <w:i/>
                <w:iCs/>
                <w:color w:val="000000"/>
                <w:szCs w:val="24"/>
                <w:lang w:eastAsia="pt-BR"/>
              </w:rPr>
              <w:t>Pot</w:t>
            </w:r>
            <w:r>
              <w:rPr>
                <w:rFonts w:eastAsia="Times New Roman" w:cs="Arial"/>
                <w:b/>
                <w:i/>
                <w:iCs/>
                <w:color w:val="000000"/>
                <w:szCs w:val="24"/>
                <w:lang w:eastAsia="pt-BR"/>
              </w:rPr>
              <w:t>.</w:t>
            </w:r>
            <w:r w:rsidRPr="000F2D0C">
              <w:rPr>
                <w:rFonts w:eastAsia="Times New Roman" w:cs="Arial"/>
                <w:b/>
                <w:i/>
                <w:iCs/>
                <w:color w:val="000000"/>
                <w:szCs w:val="24"/>
                <w:lang w:eastAsia="pt-BR"/>
              </w:rPr>
              <w:t xml:space="preserve"> Inicial</w:t>
            </w:r>
            <w:r>
              <w:rPr>
                <w:rFonts w:eastAsia="Times New Roman" w:cs="Arial"/>
                <w:b/>
                <w:i/>
                <w:iCs/>
                <w:color w:val="000000"/>
                <w:szCs w:val="24"/>
                <w:lang w:eastAsia="pt-BR"/>
              </w:rPr>
              <w:t xml:space="preserve"> c/</w:t>
            </w:r>
            <w:r w:rsidRPr="000F2D0C">
              <w:rPr>
                <w:rFonts w:eastAsia="Times New Roman" w:cs="Arial"/>
                <w:b/>
                <w:i/>
                <w:iCs/>
                <w:color w:val="000000"/>
                <w:szCs w:val="24"/>
                <w:lang w:eastAsia="pt-BR"/>
              </w:rPr>
              <w:t xml:space="preserve"> Polímero [W] </w:t>
            </w:r>
          </w:p>
        </w:tc>
      </w:tr>
      <w:tr w:rsidR="004353D2" w:rsidRPr="000F2D0C" w:rsidTr="00723209">
        <w:trPr>
          <w:trHeight w:val="340"/>
        </w:trPr>
        <w:tc>
          <w:tcPr>
            <w:tcW w:w="2380" w:type="dxa"/>
            <w:tcBorders>
              <w:top w:val="nil"/>
              <w:left w:val="nil"/>
              <w:bottom w:val="single" w:sz="4" w:space="0" w:color="auto"/>
              <w:right w:val="nil"/>
            </w:tcBorders>
            <w:shd w:val="clear" w:color="auto" w:fill="auto"/>
            <w:vAlign w:val="center"/>
            <w:hideMark/>
          </w:tcPr>
          <w:p w:rsidR="004353D2" w:rsidRPr="000F2D0C" w:rsidRDefault="004353D2" w:rsidP="006040DA">
            <w:pPr>
              <w:spacing w:after="0" w:line="240" w:lineRule="auto"/>
              <w:contextualSpacing w:val="0"/>
              <w:jc w:val="center"/>
              <w:rPr>
                <w:rFonts w:ascii="Calibri" w:eastAsia="Times New Roman" w:hAnsi="Calibri" w:cs="Times New Roman"/>
                <w:color w:val="000000"/>
                <w:szCs w:val="24"/>
                <w:lang w:eastAsia="pt-BR"/>
              </w:rPr>
            </w:pPr>
            <w:r>
              <w:rPr>
                <w:rFonts w:ascii="Calibri" w:eastAsia="Times New Roman" w:hAnsi="Calibri" w:cs="Times New Roman"/>
                <w:color w:val="000000"/>
                <w:szCs w:val="24"/>
                <w:lang w:eastAsia="pt-BR"/>
              </w:rPr>
              <w:t>PEO 50ppm</w:t>
            </w:r>
          </w:p>
        </w:tc>
        <w:tc>
          <w:tcPr>
            <w:tcW w:w="1685" w:type="dxa"/>
            <w:tcBorders>
              <w:top w:val="nil"/>
              <w:left w:val="nil"/>
              <w:bottom w:val="single" w:sz="4" w:space="0" w:color="auto"/>
              <w:right w:val="nil"/>
            </w:tcBorders>
            <w:shd w:val="clear" w:color="auto" w:fill="auto"/>
            <w:noWrap/>
            <w:vAlign w:val="center"/>
            <w:hideMark/>
          </w:tcPr>
          <w:p w:rsidR="004353D2" w:rsidRPr="000F2D0C" w:rsidRDefault="004353D2" w:rsidP="006040DA">
            <w:pPr>
              <w:spacing w:after="0" w:line="240" w:lineRule="auto"/>
              <w:contextualSpacing w:val="0"/>
              <w:jc w:val="center"/>
              <w:rPr>
                <w:rFonts w:ascii="Calibri" w:eastAsia="Times New Roman" w:hAnsi="Calibri" w:cs="Times New Roman"/>
                <w:color w:val="000000"/>
                <w:szCs w:val="24"/>
                <w:lang w:eastAsia="pt-BR"/>
              </w:rPr>
            </w:pPr>
            <w:r w:rsidRPr="000F2D0C">
              <w:rPr>
                <w:rFonts w:ascii="Calibri" w:eastAsia="Times New Roman" w:hAnsi="Calibri" w:cs="Times New Roman"/>
                <w:color w:val="000000"/>
                <w:szCs w:val="24"/>
                <w:lang w:eastAsia="pt-BR"/>
              </w:rPr>
              <w:t>493,2</w:t>
            </w:r>
          </w:p>
        </w:tc>
        <w:tc>
          <w:tcPr>
            <w:tcW w:w="1685" w:type="dxa"/>
            <w:tcBorders>
              <w:top w:val="single" w:sz="4" w:space="0" w:color="auto"/>
              <w:left w:val="nil"/>
              <w:bottom w:val="single" w:sz="4" w:space="0" w:color="auto"/>
              <w:right w:val="nil"/>
            </w:tcBorders>
            <w:shd w:val="clear" w:color="auto" w:fill="auto"/>
            <w:noWrap/>
            <w:vAlign w:val="center"/>
            <w:hideMark/>
          </w:tcPr>
          <w:p w:rsidR="004353D2" w:rsidRPr="000F2D0C" w:rsidRDefault="004353D2" w:rsidP="006040DA">
            <w:pPr>
              <w:spacing w:after="0" w:line="240" w:lineRule="auto"/>
              <w:contextualSpacing w:val="0"/>
              <w:jc w:val="center"/>
              <w:rPr>
                <w:rFonts w:ascii="Calibri" w:eastAsia="Times New Roman" w:hAnsi="Calibri" w:cs="Times New Roman"/>
                <w:color w:val="000000"/>
                <w:szCs w:val="24"/>
                <w:lang w:eastAsia="pt-BR"/>
              </w:rPr>
            </w:pPr>
            <w:r w:rsidRPr="000F2D0C">
              <w:rPr>
                <w:rFonts w:ascii="Calibri" w:eastAsia="Times New Roman" w:hAnsi="Calibri" w:cs="Times New Roman"/>
                <w:color w:val="000000"/>
                <w:szCs w:val="24"/>
                <w:lang w:eastAsia="pt-BR"/>
              </w:rPr>
              <w:t>353,4</w:t>
            </w:r>
          </w:p>
        </w:tc>
        <w:tc>
          <w:tcPr>
            <w:tcW w:w="1685" w:type="dxa"/>
            <w:gridSpan w:val="2"/>
            <w:tcBorders>
              <w:top w:val="nil"/>
              <w:left w:val="nil"/>
              <w:bottom w:val="single" w:sz="4" w:space="0" w:color="auto"/>
              <w:right w:val="nil"/>
            </w:tcBorders>
            <w:shd w:val="clear" w:color="auto" w:fill="auto"/>
            <w:noWrap/>
            <w:vAlign w:val="center"/>
            <w:hideMark/>
          </w:tcPr>
          <w:p w:rsidR="004353D2" w:rsidRPr="000F2D0C" w:rsidRDefault="004353D2" w:rsidP="006040DA">
            <w:pPr>
              <w:spacing w:after="0" w:line="240" w:lineRule="auto"/>
              <w:contextualSpacing w:val="0"/>
              <w:jc w:val="center"/>
              <w:rPr>
                <w:rFonts w:ascii="Calibri" w:eastAsia="Times New Roman" w:hAnsi="Calibri" w:cs="Times New Roman"/>
                <w:color w:val="000000"/>
                <w:szCs w:val="24"/>
                <w:lang w:eastAsia="pt-BR"/>
              </w:rPr>
            </w:pPr>
            <w:r w:rsidRPr="000F2D0C">
              <w:rPr>
                <w:rFonts w:ascii="Calibri" w:eastAsia="Times New Roman" w:hAnsi="Calibri" w:cs="Times New Roman"/>
                <w:color w:val="000000"/>
                <w:szCs w:val="24"/>
                <w:lang w:eastAsia="pt-BR"/>
              </w:rPr>
              <w:t>2764,0</w:t>
            </w:r>
          </w:p>
        </w:tc>
        <w:tc>
          <w:tcPr>
            <w:tcW w:w="1686" w:type="dxa"/>
            <w:tcBorders>
              <w:top w:val="single" w:sz="4" w:space="0" w:color="auto"/>
              <w:left w:val="nil"/>
              <w:bottom w:val="single" w:sz="4" w:space="0" w:color="auto"/>
              <w:right w:val="nil"/>
            </w:tcBorders>
            <w:shd w:val="clear" w:color="auto" w:fill="auto"/>
            <w:noWrap/>
            <w:vAlign w:val="center"/>
            <w:hideMark/>
          </w:tcPr>
          <w:p w:rsidR="004353D2" w:rsidRPr="000F2D0C" w:rsidRDefault="004353D2" w:rsidP="006040DA">
            <w:pPr>
              <w:spacing w:after="0" w:line="240" w:lineRule="auto"/>
              <w:contextualSpacing w:val="0"/>
              <w:jc w:val="center"/>
              <w:rPr>
                <w:rFonts w:ascii="Calibri" w:eastAsia="Times New Roman" w:hAnsi="Calibri" w:cs="Times New Roman"/>
                <w:color w:val="000000"/>
                <w:szCs w:val="24"/>
                <w:lang w:eastAsia="pt-BR"/>
              </w:rPr>
            </w:pPr>
            <w:r w:rsidRPr="000F2D0C">
              <w:rPr>
                <w:rFonts w:ascii="Calibri" w:eastAsia="Times New Roman" w:hAnsi="Calibri" w:cs="Times New Roman"/>
                <w:color w:val="000000"/>
                <w:szCs w:val="24"/>
                <w:lang w:eastAsia="pt-BR"/>
              </w:rPr>
              <w:t>1888,6</w:t>
            </w:r>
          </w:p>
        </w:tc>
      </w:tr>
      <w:tr w:rsidR="004353D2" w:rsidRPr="000F2D0C" w:rsidTr="00723209">
        <w:trPr>
          <w:trHeight w:val="340"/>
        </w:trPr>
        <w:tc>
          <w:tcPr>
            <w:tcW w:w="2380" w:type="dxa"/>
            <w:tcBorders>
              <w:top w:val="nil"/>
              <w:left w:val="nil"/>
              <w:bottom w:val="single" w:sz="4" w:space="0" w:color="auto"/>
              <w:right w:val="nil"/>
            </w:tcBorders>
            <w:shd w:val="clear" w:color="auto" w:fill="auto"/>
            <w:vAlign w:val="center"/>
            <w:hideMark/>
          </w:tcPr>
          <w:p w:rsidR="004353D2" w:rsidRPr="000F2D0C" w:rsidRDefault="004353D2" w:rsidP="006040DA">
            <w:pPr>
              <w:spacing w:after="0" w:line="240" w:lineRule="auto"/>
              <w:contextualSpacing w:val="0"/>
              <w:jc w:val="center"/>
              <w:rPr>
                <w:rFonts w:ascii="Calibri" w:eastAsia="Times New Roman" w:hAnsi="Calibri" w:cs="Times New Roman"/>
                <w:color w:val="000000"/>
                <w:szCs w:val="24"/>
                <w:lang w:eastAsia="pt-BR"/>
              </w:rPr>
            </w:pPr>
            <w:r w:rsidRPr="000F2D0C">
              <w:rPr>
                <w:rFonts w:ascii="Calibri" w:eastAsia="Times New Roman" w:hAnsi="Calibri" w:cs="Times New Roman"/>
                <w:color w:val="000000"/>
                <w:szCs w:val="24"/>
                <w:lang w:eastAsia="pt-BR"/>
              </w:rPr>
              <w:t>PEO 100ppm</w:t>
            </w:r>
          </w:p>
        </w:tc>
        <w:tc>
          <w:tcPr>
            <w:tcW w:w="1685" w:type="dxa"/>
            <w:tcBorders>
              <w:top w:val="nil"/>
              <w:left w:val="nil"/>
              <w:bottom w:val="single" w:sz="4" w:space="0" w:color="auto"/>
              <w:right w:val="nil"/>
            </w:tcBorders>
            <w:shd w:val="clear" w:color="auto" w:fill="auto"/>
            <w:noWrap/>
            <w:vAlign w:val="center"/>
            <w:hideMark/>
          </w:tcPr>
          <w:p w:rsidR="004353D2" w:rsidRPr="000F2D0C" w:rsidRDefault="004353D2" w:rsidP="006040DA">
            <w:pPr>
              <w:spacing w:after="0" w:line="240" w:lineRule="auto"/>
              <w:contextualSpacing w:val="0"/>
              <w:jc w:val="center"/>
              <w:rPr>
                <w:rFonts w:ascii="Calibri" w:eastAsia="Times New Roman" w:hAnsi="Calibri" w:cs="Times New Roman"/>
                <w:color w:val="000000"/>
                <w:szCs w:val="24"/>
                <w:lang w:eastAsia="pt-BR"/>
              </w:rPr>
            </w:pPr>
            <w:r w:rsidRPr="000F2D0C">
              <w:rPr>
                <w:rFonts w:ascii="Calibri" w:eastAsia="Times New Roman" w:hAnsi="Calibri" w:cs="Times New Roman"/>
                <w:color w:val="000000"/>
                <w:szCs w:val="24"/>
                <w:lang w:eastAsia="pt-BR"/>
              </w:rPr>
              <w:t>512,3</w:t>
            </w:r>
          </w:p>
        </w:tc>
        <w:tc>
          <w:tcPr>
            <w:tcW w:w="1685" w:type="dxa"/>
            <w:tcBorders>
              <w:top w:val="nil"/>
              <w:left w:val="nil"/>
              <w:bottom w:val="single" w:sz="4" w:space="0" w:color="auto"/>
              <w:right w:val="nil"/>
            </w:tcBorders>
            <w:shd w:val="clear" w:color="auto" w:fill="auto"/>
            <w:noWrap/>
            <w:vAlign w:val="center"/>
            <w:hideMark/>
          </w:tcPr>
          <w:p w:rsidR="004353D2" w:rsidRPr="000F2D0C" w:rsidRDefault="004353D2" w:rsidP="006040DA">
            <w:pPr>
              <w:spacing w:after="0" w:line="240" w:lineRule="auto"/>
              <w:contextualSpacing w:val="0"/>
              <w:jc w:val="center"/>
              <w:rPr>
                <w:rFonts w:ascii="Calibri" w:eastAsia="Times New Roman" w:hAnsi="Calibri" w:cs="Times New Roman"/>
                <w:color w:val="000000"/>
                <w:szCs w:val="24"/>
                <w:lang w:eastAsia="pt-BR"/>
              </w:rPr>
            </w:pPr>
            <w:r w:rsidRPr="000F2D0C">
              <w:rPr>
                <w:rFonts w:ascii="Calibri" w:eastAsia="Times New Roman" w:hAnsi="Calibri" w:cs="Times New Roman"/>
                <w:color w:val="000000"/>
                <w:szCs w:val="24"/>
                <w:lang w:eastAsia="pt-BR"/>
              </w:rPr>
              <w:t>356,4</w:t>
            </w:r>
          </w:p>
        </w:tc>
        <w:tc>
          <w:tcPr>
            <w:tcW w:w="1685" w:type="dxa"/>
            <w:gridSpan w:val="2"/>
            <w:tcBorders>
              <w:top w:val="nil"/>
              <w:left w:val="nil"/>
              <w:bottom w:val="single" w:sz="4" w:space="0" w:color="auto"/>
              <w:right w:val="nil"/>
            </w:tcBorders>
            <w:shd w:val="clear" w:color="auto" w:fill="auto"/>
            <w:noWrap/>
            <w:vAlign w:val="center"/>
            <w:hideMark/>
          </w:tcPr>
          <w:p w:rsidR="004353D2" w:rsidRPr="000F2D0C" w:rsidRDefault="004353D2" w:rsidP="006040DA">
            <w:pPr>
              <w:spacing w:after="0" w:line="240" w:lineRule="auto"/>
              <w:contextualSpacing w:val="0"/>
              <w:jc w:val="center"/>
              <w:rPr>
                <w:rFonts w:ascii="Calibri" w:eastAsia="Times New Roman" w:hAnsi="Calibri" w:cs="Times New Roman"/>
                <w:color w:val="000000"/>
                <w:szCs w:val="24"/>
                <w:lang w:eastAsia="pt-BR"/>
              </w:rPr>
            </w:pPr>
            <w:r w:rsidRPr="000F2D0C">
              <w:rPr>
                <w:rFonts w:ascii="Calibri" w:eastAsia="Times New Roman" w:hAnsi="Calibri" w:cs="Times New Roman"/>
                <w:color w:val="000000"/>
                <w:szCs w:val="24"/>
                <w:lang w:eastAsia="pt-BR"/>
              </w:rPr>
              <w:t>2751,6</w:t>
            </w:r>
          </w:p>
        </w:tc>
        <w:tc>
          <w:tcPr>
            <w:tcW w:w="1686" w:type="dxa"/>
            <w:tcBorders>
              <w:top w:val="nil"/>
              <w:left w:val="nil"/>
              <w:bottom w:val="single" w:sz="4" w:space="0" w:color="auto"/>
              <w:right w:val="nil"/>
            </w:tcBorders>
            <w:shd w:val="clear" w:color="auto" w:fill="auto"/>
            <w:noWrap/>
            <w:vAlign w:val="center"/>
            <w:hideMark/>
          </w:tcPr>
          <w:p w:rsidR="004353D2" w:rsidRPr="000F2D0C" w:rsidRDefault="004353D2" w:rsidP="006040DA">
            <w:pPr>
              <w:spacing w:after="0" w:line="240" w:lineRule="auto"/>
              <w:contextualSpacing w:val="0"/>
              <w:jc w:val="center"/>
              <w:rPr>
                <w:rFonts w:ascii="Calibri" w:eastAsia="Times New Roman" w:hAnsi="Calibri" w:cs="Times New Roman"/>
                <w:color w:val="000000"/>
                <w:szCs w:val="24"/>
                <w:lang w:eastAsia="pt-BR"/>
              </w:rPr>
            </w:pPr>
            <w:r w:rsidRPr="000F2D0C">
              <w:rPr>
                <w:rFonts w:ascii="Calibri" w:eastAsia="Times New Roman" w:hAnsi="Calibri" w:cs="Times New Roman"/>
                <w:color w:val="000000"/>
                <w:szCs w:val="24"/>
                <w:lang w:eastAsia="pt-BR"/>
              </w:rPr>
              <w:t>1802,0</w:t>
            </w:r>
          </w:p>
        </w:tc>
      </w:tr>
      <w:tr w:rsidR="004353D2" w:rsidRPr="000F2D0C" w:rsidTr="00723209">
        <w:trPr>
          <w:trHeight w:val="340"/>
        </w:trPr>
        <w:tc>
          <w:tcPr>
            <w:tcW w:w="2380" w:type="dxa"/>
            <w:tcBorders>
              <w:top w:val="nil"/>
              <w:left w:val="nil"/>
              <w:bottom w:val="single" w:sz="4" w:space="0" w:color="auto"/>
              <w:right w:val="nil"/>
            </w:tcBorders>
            <w:shd w:val="clear" w:color="auto" w:fill="auto"/>
            <w:vAlign w:val="center"/>
            <w:hideMark/>
          </w:tcPr>
          <w:p w:rsidR="004353D2" w:rsidRPr="000F2D0C" w:rsidRDefault="004353D2" w:rsidP="006040DA">
            <w:pPr>
              <w:spacing w:after="0" w:line="240" w:lineRule="auto"/>
              <w:contextualSpacing w:val="0"/>
              <w:jc w:val="center"/>
              <w:rPr>
                <w:rFonts w:ascii="Calibri" w:eastAsia="Times New Roman" w:hAnsi="Calibri" w:cs="Times New Roman"/>
                <w:color w:val="000000"/>
                <w:szCs w:val="24"/>
                <w:lang w:eastAsia="pt-BR"/>
              </w:rPr>
            </w:pPr>
            <w:r>
              <w:rPr>
                <w:rFonts w:ascii="Calibri" w:eastAsia="Times New Roman" w:hAnsi="Calibri" w:cs="Times New Roman"/>
                <w:color w:val="000000"/>
                <w:szCs w:val="24"/>
                <w:lang w:eastAsia="pt-BR"/>
              </w:rPr>
              <w:t>PEO 200ppm</w:t>
            </w:r>
          </w:p>
        </w:tc>
        <w:tc>
          <w:tcPr>
            <w:tcW w:w="1685" w:type="dxa"/>
            <w:tcBorders>
              <w:top w:val="nil"/>
              <w:left w:val="nil"/>
              <w:bottom w:val="single" w:sz="4" w:space="0" w:color="auto"/>
              <w:right w:val="nil"/>
            </w:tcBorders>
            <w:shd w:val="clear" w:color="auto" w:fill="auto"/>
            <w:noWrap/>
            <w:vAlign w:val="center"/>
            <w:hideMark/>
          </w:tcPr>
          <w:p w:rsidR="004353D2" w:rsidRPr="000F2D0C" w:rsidRDefault="004353D2" w:rsidP="006040DA">
            <w:pPr>
              <w:spacing w:after="0" w:line="240" w:lineRule="auto"/>
              <w:contextualSpacing w:val="0"/>
              <w:jc w:val="center"/>
              <w:rPr>
                <w:rFonts w:ascii="Calibri" w:eastAsia="Times New Roman" w:hAnsi="Calibri" w:cs="Times New Roman"/>
                <w:color w:val="000000"/>
                <w:szCs w:val="24"/>
                <w:lang w:eastAsia="pt-BR"/>
              </w:rPr>
            </w:pPr>
            <w:r w:rsidRPr="000F2D0C">
              <w:rPr>
                <w:rFonts w:ascii="Calibri" w:eastAsia="Times New Roman" w:hAnsi="Calibri" w:cs="Times New Roman"/>
                <w:color w:val="000000"/>
                <w:szCs w:val="24"/>
                <w:lang w:eastAsia="pt-BR"/>
              </w:rPr>
              <w:t>505,4</w:t>
            </w:r>
          </w:p>
        </w:tc>
        <w:tc>
          <w:tcPr>
            <w:tcW w:w="1685" w:type="dxa"/>
            <w:tcBorders>
              <w:top w:val="nil"/>
              <w:left w:val="nil"/>
              <w:bottom w:val="single" w:sz="4" w:space="0" w:color="auto"/>
              <w:right w:val="nil"/>
            </w:tcBorders>
            <w:shd w:val="clear" w:color="auto" w:fill="auto"/>
            <w:noWrap/>
            <w:vAlign w:val="center"/>
            <w:hideMark/>
          </w:tcPr>
          <w:p w:rsidR="004353D2" w:rsidRPr="000F2D0C" w:rsidRDefault="004353D2" w:rsidP="006040DA">
            <w:pPr>
              <w:spacing w:after="0" w:line="240" w:lineRule="auto"/>
              <w:contextualSpacing w:val="0"/>
              <w:jc w:val="center"/>
              <w:rPr>
                <w:rFonts w:ascii="Calibri" w:eastAsia="Times New Roman" w:hAnsi="Calibri" w:cs="Times New Roman"/>
                <w:color w:val="000000"/>
                <w:szCs w:val="24"/>
                <w:lang w:eastAsia="pt-BR"/>
              </w:rPr>
            </w:pPr>
            <w:r w:rsidRPr="000F2D0C">
              <w:rPr>
                <w:rFonts w:ascii="Calibri" w:eastAsia="Times New Roman" w:hAnsi="Calibri" w:cs="Times New Roman"/>
                <w:color w:val="000000"/>
                <w:szCs w:val="24"/>
                <w:lang w:eastAsia="pt-BR"/>
              </w:rPr>
              <w:t>369,7</w:t>
            </w:r>
          </w:p>
        </w:tc>
        <w:tc>
          <w:tcPr>
            <w:tcW w:w="1685" w:type="dxa"/>
            <w:gridSpan w:val="2"/>
            <w:tcBorders>
              <w:top w:val="nil"/>
              <w:left w:val="nil"/>
              <w:bottom w:val="single" w:sz="4" w:space="0" w:color="auto"/>
              <w:right w:val="nil"/>
            </w:tcBorders>
            <w:shd w:val="clear" w:color="auto" w:fill="auto"/>
            <w:noWrap/>
            <w:vAlign w:val="center"/>
            <w:hideMark/>
          </w:tcPr>
          <w:p w:rsidR="004353D2" w:rsidRPr="000F2D0C" w:rsidRDefault="004353D2" w:rsidP="006040DA">
            <w:pPr>
              <w:spacing w:after="0" w:line="240" w:lineRule="auto"/>
              <w:contextualSpacing w:val="0"/>
              <w:jc w:val="center"/>
              <w:rPr>
                <w:rFonts w:ascii="Calibri" w:eastAsia="Times New Roman" w:hAnsi="Calibri" w:cs="Times New Roman"/>
                <w:color w:val="000000"/>
                <w:szCs w:val="24"/>
                <w:lang w:eastAsia="pt-BR"/>
              </w:rPr>
            </w:pPr>
            <w:r w:rsidRPr="000F2D0C">
              <w:rPr>
                <w:rFonts w:ascii="Calibri" w:eastAsia="Times New Roman" w:hAnsi="Calibri" w:cs="Times New Roman"/>
                <w:color w:val="000000"/>
                <w:szCs w:val="24"/>
                <w:lang w:eastAsia="pt-BR"/>
              </w:rPr>
              <w:t>2817,2</w:t>
            </w:r>
          </w:p>
        </w:tc>
        <w:tc>
          <w:tcPr>
            <w:tcW w:w="1686" w:type="dxa"/>
            <w:tcBorders>
              <w:top w:val="nil"/>
              <w:left w:val="nil"/>
              <w:bottom w:val="single" w:sz="4" w:space="0" w:color="auto"/>
              <w:right w:val="nil"/>
            </w:tcBorders>
            <w:shd w:val="clear" w:color="auto" w:fill="auto"/>
            <w:noWrap/>
            <w:vAlign w:val="center"/>
            <w:hideMark/>
          </w:tcPr>
          <w:p w:rsidR="004353D2" w:rsidRPr="000F2D0C" w:rsidRDefault="004353D2" w:rsidP="006040DA">
            <w:pPr>
              <w:spacing w:after="0" w:line="240" w:lineRule="auto"/>
              <w:contextualSpacing w:val="0"/>
              <w:jc w:val="center"/>
              <w:rPr>
                <w:rFonts w:ascii="Calibri" w:eastAsia="Times New Roman" w:hAnsi="Calibri" w:cs="Times New Roman"/>
                <w:color w:val="000000"/>
                <w:szCs w:val="24"/>
                <w:lang w:eastAsia="pt-BR"/>
              </w:rPr>
            </w:pPr>
            <w:r w:rsidRPr="000F2D0C">
              <w:rPr>
                <w:rFonts w:ascii="Calibri" w:eastAsia="Times New Roman" w:hAnsi="Calibri" w:cs="Times New Roman"/>
                <w:color w:val="000000"/>
                <w:szCs w:val="24"/>
                <w:lang w:eastAsia="pt-BR"/>
              </w:rPr>
              <w:t>1712,0</w:t>
            </w:r>
          </w:p>
        </w:tc>
      </w:tr>
    </w:tbl>
    <w:p w:rsidR="00554883" w:rsidRDefault="00C91A0F" w:rsidP="008F1BED">
      <w:pPr>
        <w:jc w:val="center"/>
      </w:pPr>
      <w:r>
        <w:t>Fonte: Autoria própria</w:t>
      </w:r>
    </w:p>
    <w:p w:rsidR="00777477" w:rsidRDefault="00777477" w:rsidP="00777477"/>
    <w:p w:rsidR="00121D84" w:rsidRPr="00F35C3E" w:rsidRDefault="00121D84" w:rsidP="00F35C3E">
      <w:pPr>
        <w:pStyle w:val="Nvel2-PG"/>
        <w:tabs>
          <w:tab w:val="center" w:pos="4535"/>
        </w:tabs>
      </w:pPr>
      <w:bookmarkStart w:id="158" w:name="_Toc488678377"/>
      <w:r w:rsidRPr="00952F5B">
        <w:t>4.</w:t>
      </w:r>
      <w:r w:rsidR="00A16BA1">
        <w:t>4</w:t>
      </w:r>
      <w:r w:rsidRPr="00952F5B">
        <w:t xml:space="preserve"> Ensaios com </w:t>
      </w:r>
      <w:r w:rsidRPr="00121D84">
        <w:rPr>
          <w:i/>
        </w:rPr>
        <w:t>Blen</w:t>
      </w:r>
      <w:r>
        <w:rPr>
          <w:i/>
        </w:rPr>
        <w:t>d</w:t>
      </w:r>
      <w:r w:rsidRPr="00121D84">
        <w:rPr>
          <w:i/>
        </w:rPr>
        <w:t>s</w:t>
      </w:r>
      <w:bookmarkEnd w:id="158"/>
      <w:r w:rsidR="00F35C3E">
        <w:rPr>
          <w:i/>
        </w:rPr>
        <w:tab/>
      </w:r>
    </w:p>
    <w:p w:rsidR="00F35C3E" w:rsidRDefault="00F35C3E" w:rsidP="004720D5">
      <w:pPr>
        <w:tabs>
          <w:tab w:val="left" w:pos="7830"/>
        </w:tabs>
      </w:pPr>
      <w:r>
        <w:t xml:space="preserve">Foram escolhidas as concentrações de 100 e 200 ppm para a realização dos ensaios com </w:t>
      </w:r>
      <w:r w:rsidRPr="00F35C3E">
        <w:rPr>
          <w:i/>
        </w:rPr>
        <w:t>Blends</w:t>
      </w:r>
      <w:r>
        <w:t>. Os parâmetros para ensaio foram os mesmos das soluções de Goma Guar e PEO, mencionadas nos itens 4.2 e 4.3. Alguns contratempos ocorridos no preparo das soluções de 200 ppm acarretaram em um tempo de descanso superior aos demais testes, por volta de 90 horas.</w:t>
      </w:r>
      <w:r w:rsidR="004720D5" w:rsidRPr="004720D5">
        <w:t xml:space="preserve"> </w:t>
      </w:r>
      <w:r w:rsidR="004720D5">
        <w:t>Mais uma vez os dados serão analisados com maior precisão a partir das curvas de potência ativa normalizada devido as interferências na coleta de dados dos transdutores de pressão.</w:t>
      </w:r>
      <w:r>
        <w:t xml:space="preserve"> Os resultados d</w:t>
      </w:r>
      <w:r w:rsidR="004A3F73">
        <w:t xml:space="preserve">os </w:t>
      </w:r>
      <w:r w:rsidR="004A3F73">
        <w:lastRenderedPageBreak/>
        <w:t xml:space="preserve">ensaios com </w:t>
      </w:r>
      <w:r w:rsidR="00603931">
        <w:rPr>
          <w:i/>
        </w:rPr>
        <w:t>Bl</w:t>
      </w:r>
      <w:r w:rsidR="00603931" w:rsidRPr="00603931">
        <w:rPr>
          <w:i/>
        </w:rPr>
        <w:t>ends</w:t>
      </w:r>
      <w:r w:rsidR="00603931">
        <w:rPr>
          <w:i/>
        </w:rPr>
        <w:t xml:space="preserve"> </w:t>
      </w:r>
      <w:r>
        <w:t xml:space="preserve">com relação a fator de atrito, redução de arraste e potência ativa consumida estão representados nas seções a seguir. </w:t>
      </w:r>
    </w:p>
    <w:p w:rsidR="004A3F73" w:rsidRPr="00F35C3E" w:rsidRDefault="00F35C3E" w:rsidP="00F35C3E">
      <w:pPr>
        <w:tabs>
          <w:tab w:val="left" w:pos="7830"/>
        </w:tabs>
      </w:pPr>
      <w:r>
        <w:tab/>
      </w:r>
    </w:p>
    <w:p w:rsidR="002B0601" w:rsidRDefault="002B0601" w:rsidP="002B0601">
      <w:pPr>
        <w:pStyle w:val="Nvel3-PG"/>
        <w:tabs>
          <w:tab w:val="left" w:pos="5774"/>
        </w:tabs>
      </w:pPr>
      <w:bookmarkStart w:id="159" w:name="_Toc488678378"/>
      <w:r>
        <w:t>4.4.1</w:t>
      </w:r>
      <w:r w:rsidRPr="00952F5B">
        <w:t xml:space="preserve"> </w:t>
      </w:r>
      <w:r>
        <w:t>Efeito das soluções no fator de atrito e DR%</w:t>
      </w:r>
      <w:bookmarkEnd w:id="159"/>
    </w:p>
    <w:p w:rsidR="004720D5" w:rsidRDefault="004720D5" w:rsidP="004720D5">
      <w:r w:rsidRPr="003139F3">
        <w:t>As</w:t>
      </w:r>
      <w:r>
        <w:t xml:space="preserve"> Figuras 30 a 33 </w:t>
      </w:r>
      <w:r w:rsidRPr="003139F3">
        <w:t xml:space="preserve">apresentam as curvas de fator de atrito e redução de arraste ao longo do tempo das </w:t>
      </w:r>
      <w:r>
        <w:t>concentrações</w:t>
      </w:r>
      <w:r w:rsidR="00156E22">
        <w:t xml:space="preserve"> de</w:t>
      </w:r>
      <w:r>
        <w:t xml:space="preserve"> </w:t>
      </w:r>
      <w:r w:rsidR="00156E22" w:rsidRPr="00156E22">
        <w:rPr>
          <w:i/>
        </w:rPr>
        <w:t>Blend</w:t>
      </w:r>
      <w:r w:rsidR="00156E22">
        <w:rPr>
          <w:i/>
        </w:rPr>
        <w:t>s</w:t>
      </w:r>
      <w:r w:rsidR="00156E22">
        <w:t xml:space="preserve"> </w:t>
      </w:r>
      <w:r>
        <w:t>nos números de Reynolds definidos para os ensaios.</w:t>
      </w:r>
    </w:p>
    <w:p w:rsidR="004720D5" w:rsidRDefault="004720D5" w:rsidP="004720D5">
      <w:pPr>
        <w:pStyle w:val="Figura-PG"/>
      </w:pPr>
    </w:p>
    <w:p w:rsidR="0051213F" w:rsidRDefault="0051213F" w:rsidP="00C91A0F">
      <w:pPr>
        <w:pStyle w:val="Figura-PG"/>
      </w:pPr>
      <w:bookmarkStart w:id="160" w:name="_Toc488706071"/>
      <w:r>
        <w:t xml:space="preserve">Figura </w:t>
      </w:r>
      <w:fldSimple w:instr=" SEQ Figura \* ARABIC ">
        <w:r w:rsidR="00777477">
          <w:rPr>
            <w:noProof/>
          </w:rPr>
          <w:t>30</w:t>
        </w:r>
      </w:fldSimple>
      <w:r w:rsidR="00B35767">
        <w:rPr>
          <w:noProof/>
        </w:rPr>
        <w:t xml:space="preserve"> -</w:t>
      </w:r>
      <w:r>
        <w:t xml:space="preserve"> </w:t>
      </w:r>
      <w:r w:rsidRPr="00B11990">
        <w:t>Fator de atrit</w:t>
      </w:r>
      <w:r>
        <w:t xml:space="preserve">o dos Blends para </w:t>
      </w:r>
      <w:r w:rsidR="00B35767">
        <w:t xml:space="preserve">e = 34000; </w:t>
      </w:r>
      <w:r>
        <w:t>Q = 2</w:t>
      </w:r>
      <w:r w:rsidRPr="00B11990">
        <w:t xml:space="preserve"> m³/h.</w:t>
      </w:r>
      <w:bookmarkEnd w:id="160"/>
    </w:p>
    <w:p w:rsidR="0051213F" w:rsidRDefault="00B35767" w:rsidP="00A017BA">
      <w:pPr>
        <w:jc w:val="center"/>
      </w:pPr>
      <w:r w:rsidRPr="00B35767">
        <w:rPr>
          <w:noProof/>
          <w:lang w:eastAsia="pt-BR"/>
        </w:rPr>
        <w:drawing>
          <wp:inline distT="0" distB="0" distL="0" distR="0" wp14:anchorId="7EDC99AE" wp14:editId="7000B380">
            <wp:extent cx="4105052" cy="3852000"/>
            <wp:effectExtent l="0" t="0" r="0" b="0"/>
            <wp:docPr id="59" name="Imagem 59" descr="C:\Users\Jhonnilo\Google Drive\PG UFES\Drag Reduction\Testes\Graficos\Export\f blen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honnilo\Google Drive\PG UFES\Drag Reduction\Testes\Graficos\Export\f blend 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05052" cy="3852000"/>
                    </a:xfrm>
                    <a:prstGeom prst="rect">
                      <a:avLst/>
                    </a:prstGeom>
                    <a:noFill/>
                    <a:ln>
                      <a:noFill/>
                    </a:ln>
                  </pic:spPr>
                </pic:pic>
              </a:graphicData>
            </a:graphic>
          </wp:inline>
        </w:drawing>
      </w:r>
      <w:r>
        <w:tab/>
      </w:r>
    </w:p>
    <w:p w:rsidR="00B35767" w:rsidRDefault="00777477" w:rsidP="00777477">
      <w:pPr>
        <w:jc w:val="center"/>
      </w:pPr>
      <w:r>
        <w:t>Fonte: Autoria própria</w:t>
      </w:r>
    </w:p>
    <w:p w:rsidR="008F1BED" w:rsidRDefault="008F1BED" w:rsidP="00777477">
      <w:pPr>
        <w:jc w:val="center"/>
      </w:pPr>
    </w:p>
    <w:p w:rsidR="008F1BED" w:rsidRDefault="008F1BED" w:rsidP="00777477">
      <w:pPr>
        <w:jc w:val="center"/>
      </w:pPr>
    </w:p>
    <w:p w:rsidR="008F1BED" w:rsidRDefault="008F1BED" w:rsidP="00777477">
      <w:pPr>
        <w:jc w:val="center"/>
      </w:pPr>
    </w:p>
    <w:p w:rsidR="008F1BED" w:rsidRDefault="008F1BED" w:rsidP="00777477">
      <w:pPr>
        <w:jc w:val="center"/>
      </w:pPr>
    </w:p>
    <w:p w:rsidR="008F1BED" w:rsidRDefault="008F1BED" w:rsidP="00777477">
      <w:pPr>
        <w:jc w:val="center"/>
      </w:pPr>
    </w:p>
    <w:p w:rsidR="008F1BED" w:rsidRDefault="008F1BED" w:rsidP="00777477">
      <w:pPr>
        <w:jc w:val="center"/>
      </w:pPr>
    </w:p>
    <w:p w:rsidR="008F1BED" w:rsidRDefault="008F1BED" w:rsidP="00777477">
      <w:pPr>
        <w:jc w:val="center"/>
      </w:pPr>
    </w:p>
    <w:p w:rsidR="008F1BED" w:rsidRDefault="008F1BED" w:rsidP="00777477">
      <w:pPr>
        <w:jc w:val="center"/>
      </w:pPr>
    </w:p>
    <w:p w:rsidR="004720D5" w:rsidRDefault="004720D5" w:rsidP="004720D5">
      <w:pPr>
        <w:pStyle w:val="Figura-PG"/>
      </w:pPr>
      <w:bookmarkStart w:id="161" w:name="_Toc488706072"/>
      <w:r>
        <w:lastRenderedPageBreak/>
        <w:t xml:space="preserve">Figura </w:t>
      </w:r>
      <w:fldSimple w:instr=" SEQ Figura \* ARABIC ">
        <w:r w:rsidR="00156E22">
          <w:rPr>
            <w:noProof/>
          </w:rPr>
          <w:t>31</w:t>
        </w:r>
      </w:fldSimple>
      <w:r>
        <w:rPr>
          <w:noProof/>
        </w:rPr>
        <w:t xml:space="preserve"> -</w:t>
      </w:r>
      <w:r>
        <w:t xml:space="preserve"> </w:t>
      </w:r>
      <w:r w:rsidRPr="00DB3B13">
        <w:t xml:space="preserve">Fator de atrito dos Blends para </w:t>
      </w:r>
      <w:r>
        <w:t xml:space="preserve">Re = 68000; </w:t>
      </w:r>
      <w:r w:rsidRPr="00DB3B13">
        <w:t xml:space="preserve">Q = </w:t>
      </w:r>
      <w:r>
        <w:t>4</w:t>
      </w:r>
      <w:r w:rsidRPr="00DB3B13">
        <w:t xml:space="preserve"> m³/h.</w:t>
      </w:r>
      <w:bookmarkEnd w:id="161"/>
    </w:p>
    <w:p w:rsidR="004720D5" w:rsidRDefault="004720D5" w:rsidP="004720D5">
      <w:pPr>
        <w:jc w:val="center"/>
      </w:pPr>
      <w:r w:rsidRPr="00B35767">
        <w:rPr>
          <w:noProof/>
          <w:lang w:eastAsia="pt-BR"/>
        </w:rPr>
        <w:drawing>
          <wp:inline distT="0" distB="0" distL="0" distR="0" wp14:anchorId="185DBBC5" wp14:editId="5EF933CE">
            <wp:extent cx="4105051" cy="3852000"/>
            <wp:effectExtent l="0" t="0" r="0" b="0"/>
            <wp:docPr id="61" name="Imagem 61" descr="C:\Users\Jhonnilo\Google Drive\PG UFES\Drag Reduction\Testes\Graficos\Export\f blend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honnilo\Google Drive\PG UFES\Drag Reduction\Testes\Graficos\Export\f blend 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05051" cy="3852000"/>
                    </a:xfrm>
                    <a:prstGeom prst="rect">
                      <a:avLst/>
                    </a:prstGeom>
                    <a:noFill/>
                    <a:ln>
                      <a:noFill/>
                    </a:ln>
                  </pic:spPr>
                </pic:pic>
              </a:graphicData>
            </a:graphic>
          </wp:inline>
        </w:drawing>
      </w:r>
    </w:p>
    <w:p w:rsidR="004720D5" w:rsidRDefault="004720D5" w:rsidP="004720D5">
      <w:pPr>
        <w:jc w:val="center"/>
      </w:pPr>
      <w:r>
        <w:t>Fonte: Autoria própria</w:t>
      </w:r>
    </w:p>
    <w:p w:rsidR="0051213F" w:rsidRDefault="0051213F" w:rsidP="00C91A0F">
      <w:pPr>
        <w:pStyle w:val="Figura-PG"/>
      </w:pPr>
      <w:bookmarkStart w:id="162" w:name="_Toc488706073"/>
      <w:r>
        <w:t xml:space="preserve">Figura </w:t>
      </w:r>
      <w:fldSimple w:instr=" SEQ Figura \* ARABIC ">
        <w:r w:rsidR="00156E22">
          <w:rPr>
            <w:noProof/>
          </w:rPr>
          <w:t>32</w:t>
        </w:r>
      </w:fldSimple>
      <w:r w:rsidR="00B35767">
        <w:rPr>
          <w:noProof/>
        </w:rPr>
        <w:t xml:space="preserve"> -</w:t>
      </w:r>
      <w:r w:rsidR="00B35767">
        <w:t xml:space="preserve"> </w:t>
      </w:r>
      <w:r w:rsidRPr="00F374E5">
        <w:t>Redução de arraste percentual d</w:t>
      </w:r>
      <w:r>
        <w:t>os</w:t>
      </w:r>
      <w:r w:rsidRPr="00F374E5">
        <w:t xml:space="preserve"> Blends para</w:t>
      </w:r>
      <w:r w:rsidR="00B35767">
        <w:t xml:space="preserve"> Re = 34000;</w:t>
      </w:r>
      <w:r w:rsidRPr="00F374E5">
        <w:t xml:space="preserve"> Q = 2 m³/h.</w:t>
      </w:r>
      <w:bookmarkEnd w:id="162"/>
    </w:p>
    <w:p w:rsidR="0051213F" w:rsidRDefault="00B35767" w:rsidP="00A017BA">
      <w:pPr>
        <w:jc w:val="center"/>
      </w:pPr>
      <w:r w:rsidRPr="00B35767">
        <w:rPr>
          <w:noProof/>
          <w:lang w:eastAsia="pt-BR"/>
        </w:rPr>
        <w:drawing>
          <wp:inline distT="0" distB="0" distL="0" distR="0" wp14:anchorId="65F3291D" wp14:editId="3C7D21DD">
            <wp:extent cx="3992584" cy="3852000"/>
            <wp:effectExtent l="0" t="0" r="8255" b="0"/>
            <wp:docPr id="60" name="Imagem 60" descr="C:\Users\Jhonnilo\Google Drive\PG UFES\Drag Reduction\Testes\Graficos\Export\dr blen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honnilo\Google Drive\PG UFES\Drag Reduction\Testes\Graficos\Export\dr blend 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92584" cy="3852000"/>
                    </a:xfrm>
                    <a:prstGeom prst="rect">
                      <a:avLst/>
                    </a:prstGeom>
                    <a:noFill/>
                    <a:ln>
                      <a:noFill/>
                    </a:ln>
                  </pic:spPr>
                </pic:pic>
              </a:graphicData>
            </a:graphic>
          </wp:inline>
        </w:drawing>
      </w:r>
    </w:p>
    <w:p w:rsidR="00C91A0F" w:rsidRDefault="00C91A0F" w:rsidP="00C91A0F">
      <w:pPr>
        <w:jc w:val="center"/>
      </w:pPr>
      <w:r>
        <w:t>Fonte: Autoria própria</w:t>
      </w:r>
    </w:p>
    <w:p w:rsidR="0051213F" w:rsidRDefault="0051213F" w:rsidP="00C91A0F">
      <w:pPr>
        <w:pStyle w:val="Figura-PG"/>
      </w:pPr>
      <w:bookmarkStart w:id="163" w:name="_Toc488706074"/>
      <w:r>
        <w:lastRenderedPageBreak/>
        <w:t xml:space="preserve">Figura </w:t>
      </w:r>
      <w:fldSimple w:instr=" SEQ Figura \* ARABIC ">
        <w:r w:rsidR="00156E22">
          <w:rPr>
            <w:noProof/>
          </w:rPr>
          <w:t>33</w:t>
        </w:r>
      </w:fldSimple>
      <w:r w:rsidR="00B35767">
        <w:t xml:space="preserve"> - </w:t>
      </w:r>
      <w:r w:rsidRPr="00ED1470">
        <w:t xml:space="preserve">Redução de arraste percentual dos Blends para </w:t>
      </w:r>
      <w:r w:rsidR="00B35767">
        <w:t xml:space="preserve">Re = 68000; </w:t>
      </w:r>
      <w:r w:rsidRPr="00ED1470">
        <w:t xml:space="preserve">Q = </w:t>
      </w:r>
      <w:r>
        <w:t>4</w:t>
      </w:r>
      <w:r w:rsidRPr="00ED1470">
        <w:t xml:space="preserve"> m³/h.</w:t>
      </w:r>
      <w:bookmarkEnd w:id="163"/>
    </w:p>
    <w:p w:rsidR="0051213F" w:rsidRDefault="00B35767" w:rsidP="00A017BA">
      <w:pPr>
        <w:jc w:val="center"/>
      </w:pPr>
      <w:r w:rsidRPr="00B35767">
        <w:rPr>
          <w:noProof/>
          <w:lang w:eastAsia="pt-BR"/>
        </w:rPr>
        <w:drawing>
          <wp:inline distT="0" distB="0" distL="0" distR="0" wp14:anchorId="50BD8CDD" wp14:editId="12D1CBBC">
            <wp:extent cx="3992584" cy="3852000"/>
            <wp:effectExtent l="0" t="0" r="8255" b="0"/>
            <wp:docPr id="62" name="Imagem 62" descr="C:\Users\Jhonnilo\Google Drive\PG UFES\Drag Reduction\Testes\Graficos\Export\dr blend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honnilo\Google Drive\PG UFES\Drag Reduction\Testes\Graficos\Export\dr blend 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92584" cy="3852000"/>
                    </a:xfrm>
                    <a:prstGeom prst="rect">
                      <a:avLst/>
                    </a:prstGeom>
                    <a:noFill/>
                    <a:ln>
                      <a:noFill/>
                    </a:ln>
                  </pic:spPr>
                </pic:pic>
              </a:graphicData>
            </a:graphic>
          </wp:inline>
        </w:drawing>
      </w:r>
    </w:p>
    <w:p w:rsidR="00C91A0F" w:rsidRDefault="00C91A0F" w:rsidP="00A017BA">
      <w:pPr>
        <w:jc w:val="center"/>
      </w:pPr>
      <w:r>
        <w:t>Fonte: Autoria própria</w:t>
      </w:r>
    </w:p>
    <w:p w:rsidR="00156E22" w:rsidRDefault="00156E22" w:rsidP="00A017BA">
      <w:pPr>
        <w:rPr>
          <w:rFonts w:eastAsiaTheme="minorEastAsia"/>
        </w:rPr>
      </w:pPr>
      <w:r>
        <w:t xml:space="preserve">Comparando as curvas de redução de arraste das </w:t>
      </w:r>
      <w:r>
        <w:rPr>
          <w:rFonts w:eastAsiaTheme="minorEastAsia"/>
        </w:rPr>
        <w:t xml:space="preserve">Figuras 32 e 33, é possível identificar uma diferença no comportamento da solução de </w:t>
      </w:r>
      <m:oMath>
        <m:r>
          <w:rPr>
            <w:rFonts w:ascii="Cambria Math" w:eastAsiaTheme="minorEastAsia" w:hAnsi="Cambria Math"/>
          </w:rPr>
          <m:t>200 ppm</m:t>
        </m:r>
      </m:oMath>
      <w:r>
        <w:rPr>
          <w:rFonts w:eastAsiaTheme="minorEastAsia"/>
        </w:rPr>
        <w:t xml:space="preserve"> a </w:t>
      </w:r>
      <m:oMath>
        <m:r>
          <w:rPr>
            <w:rFonts w:ascii="Cambria Math" w:eastAsiaTheme="minorEastAsia" w:hAnsi="Cambria Math"/>
          </w:rPr>
          <m:t>Re = 68000</m:t>
        </m:r>
      </m:oMath>
      <w:r>
        <w:rPr>
          <w:rFonts w:eastAsiaTheme="minorEastAsia"/>
        </w:rPr>
        <w:t>, que é justamente a solução que permaneceu por mais tempo no processo de diluição.</w:t>
      </w:r>
    </w:p>
    <w:p w:rsidR="0051213F" w:rsidRDefault="00156E22" w:rsidP="0057780A">
      <w:pPr>
        <w:rPr>
          <w:rFonts w:eastAsiaTheme="minorEastAsia"/>
        </w:rPr>
      </w:pPr>
      <w:r>
        <w:rPr>
          <w:rFonts w:eastAsiaTheme="minorEastAsia"/>
        </w:rPr>
        <w:t>Acredita-se que a degradação biol</w:t>
      </w:r>
      <w:r w:rsidR="0057780A">
        <w:rPr>
          <w:rFonts w:eastAsiaTheme="minorEastAsia"/>
        </w:rPr>
        <w:t>ógica atuou sobre a Goma Guar (polímero de origem biológica), restando apenas as moléculas de PEO para a promoção da redução de arraste, o que</w:t>
      </w:r>
      <w:r w:rsidR="00C3204F">
        <w:rPr>
          <w:rFonts w:eastAsiaTheme="minorEastAsia"/>
        </w:rPr>
        <w:t xml:space="preserve"> pode justificar a curva não ter acompanhado a mesma tendência da curva de</w:t>
      </w:r>
      <w:r w:rsidR="0057780A">
        <w:rPr>
          <w:rFonts w:eastAsiaTheme="minorEastAsia"/>
        </w:rPr>
        <w:t xml:space="preserve"> </w:t>
      </w:r>
      <m:oMath>
        <m:r>
          <w:rPr>
            <w:rFonts w:ascii="Cambria Math" w:eastAsiaTheme="minorEastAsia" w:hAnsi="Cambria Math"/>
          </w:rPr>
          <m:t>100 ppm</m:t>
        </m:r>
      </m:oMath>
      <w:r w:rsidR="0057780A">
        <w:rPr>
          <w:rFonts w:eastAsiaTheme="minorEastAsia"/>
        </w:rPr>
        <w:t xml:space="preserve"> a </w:t>
      </w:r>
      <w:r w:rsidR="00C3204F">
        <w:rPr>
          <w:rFonts w:eastAsiaTheme="minorEastAsia"/>
        </w:rPr>
        <w:t xml:space="preserve">mesmo </w:t>
      </w:r>
      <m:oMath>
        <m:r>
          <w:rPr>
            <w:rFonts w:ascii="Cambria Math" w:eastAsiaTheme="minorEastAsia" w:hAnsi="Cambria Math"/>
          </w:rPr>
          <m:t>Re</m:t>
        </m:r>
      </m:oMath>
      <w:r w:rsidR="0057780A">
        <w:rPr>
          <w:rFonts w:eastAsiaTheme="minorEastAsia"/>
        </w:rPr>
        <w:t>.</w:t>
      </w:r>
    </w:p>
    <w:p w:rsidR="0057780A" w:rsidRDefault="0057780A" w:rsidP="0057780A">
      <w:pPr>
        <w:rPr>
          <w:rFonts w:eastAsiaTheme="minorEastAsia"/>
        </w:rPr>
      </w:pPr>
      <w:r>
        <w:rPr>
          <w:rFonts w:eastAsiaTheme="minorEastAsia"/>
        </w:rPr>
        <w:t xml:space="preserve">Em geral, espera-se que a redução de arraste inicial se mantenha elevada, como nas soluções de PEO, e que a degradação mecânica seja contida pela </w:t>
      </w:r>
      <w:r w:rsidR="00C3204F">
        <w:rPr>
          <w:rFonts w:eastAsiaTheme="minorEastAsia"/>
        </w:rPr>
        <w:t>ação da Goma Guar no escoamento. No entanto,</w:t>
      </w:r>
      <w:r>
        <w:rPr>
          <w:rFonts w:eastAsiaTheme="minorEastAsia"/>
        </w:rPr>
        <w:t xml:space="preserve"> isto </w:t>
      </w:r>
      <w:r w:rsidR="00C3204F">
        <w:rPr>
          <w:rFonts w:eastAsiaTheme="minorEastAsia"/>
        </w:rPr>
        <w:t xml:space="preserve">só é </w:t>
      </w:r>
      <w:r>
        <w:rPr>
          <w:rFonts w:eastAsiaTheme="minorEastAsia"/>
        </w:rPr>
        <w:t xml:space="preserve">observado para a solução de </w:t>
      </w:r>
      <m:oMath>
        <m:r>
          <w:rPr>
            <w:rFonts w:ascii="Cambria Math" w:eastAsiaTheme="minorEastAsia" w:hAnsi="Cambria Math"/>
          </w:rPr>
          <m:t>100 ppm</m:t>
        </m:r>
      </m:oMath>
      <w:r>
        <w:rPr>
          <w:rFonts w:eastAsiaTheme="minorEastAsia"/>
        </w:rPr>
        <w:t xml:space="preserve"> em </w:t>
      </w:r>
      <m:oMath>
        <m:r>
          <w:rPr>
            <w:rFonts w:ascii="Cambria Math" w:eastAsiaTheme="minorEastAsia" w:hAnsi="Cambria Math"/>
          </w:rPr>
          <m:t>Re=68000</m:t>
        </m:r>
      </m:oMath>
      <w:r>
        <w:rPr>
          <w:rFonts w:eastAsiaTheme="minorEastAsia"/>
        </w:rPr>
        <w:t>.</w:t>
      </w:r>
      <w:r w:rsidR="00C3204F">
        <w:rPr>
          <w:rFonts w:eastAsiaTheme="minorEastAsia"/>
        </w:rPr>
        <w:t xml:space="preserve"> As demais soluções possuem comporta</w:t>
      </w:r>
      <w:r w:rsidR="008F1BED">
        <w:rPr>
          <w:rFonts w:eastAsiaTheme="minorEastAsia"/>
        </w:rPr>
        <w:t xml:space="preserve">mento muito similar ao do PEO, </w:t>
      </w:r>
      <w:r w:rsidR="00C3204F">
        <w:rPr>
          <w:rFonts w:eastAsiaTheme="minorEastAsia"/>
        </w:rPr>
        <w:t xml:space="preserve">o que pode indicar uma inibição da ação da Goma Guar a </w:t>
      </w:r>
      <m:oMath>
        <m:r>
          <w:rPr>
            <w:rFonts w:ascii="Cambria Math" w:eastAsiaTheme="minorEastAsia" w:hAnsi="Cambria Math"/>
          </w:rPr>
          <m:t>Re=34000</m:t>
        </m:r>
      </m:oMath>
      <w:r w:rsidR="00C3204F">
        <w:rPr>
          <w:rFonts w:eastAsiaTheme="minorEastAsia"/>
        </w:rPr>
        <w:t>.</w:t>
      </w:r>
    </w:p>
    <w:p w:rsidR="0057780A" w:rsidRPr="0057780A" w:rsidRDefault="0057780A" w:rsidP="0057780A">
      <w:pPr>
        <w:rPr>
          <w:rFonts w:eastAsiaTheme="minorEastAsia"/>
        </w:rPr>
      </w:pPr>
    </w:p>
    <w:p w:rsidR="0057780A" w:rsidRDefault="0057780A" w:rsidP="002B0601">
      <w:pPr>
        <w:pStyle w:val="Nvel3-PG"/>
        <w:tabs>
          <w:tab w:val="left" w:pos="5774"/>
        </w:tabs>
      </w:pPr>
    </w:p>
    <w:p w:rsidR="0057780A" w:rsidRDefault="0057780A" w:rsidP="002B0601">
      <w:pPr>
        <w:pStyle w:val="Nvel3-PG"/>
        <w:tabs>
          <w:tab w:val="left" w:pos="5774"/>
        </w:tabs>
      </w:pPr>
    </w:p>
    <w:p w:rsidR="0057780A" w:rsidRDefault="0057780A" w:rsidP="002B0601">
      <w:pPr>
        <w:pStyle w:val="Nvel3-PG"/>
        <w:tabs>
          <w:tab w:val="left" w:pos="5774"/>
        </w:tabs>
      </w:pPr>
    </w:p>
    <w:p w:rsidR="002B0601" w:rsidRDefault="002B0601" w:rsidP="002B0601">
      <w:pPr>
        <w:pStyle w:val="Nvel3-PG"/>
        <w:tabs>
          <w:tab w:val="left" w:pos="5774"/>
        </w:tabs>
      </w:pPr>
      <w:bookmarkStart w:id="164" w:name="_Toc488678379"/>
      <w:r w:rsidRPr="00952F5B">
        <w:lastRenderedPageBreak/>
        <w:t>4.</w:t>
      </w:r>
      <w:r w:rsidR="0030199A">
        <w:t>4</w:t>
      </w:r>
      <w:r>
        <w:t>.2</w:t>
      </w:r>
      <w:r w:rsidRPr="00952F5B">
        <w:t xml:space="preserve"> </w:t>
      </w:r>
      <w:r>
        <w:t>Efeito das soluções na potência ativa consumida</w:t>
      </w:r>
      <w:bookmarkEnd w:id="164"/>
    </w:p>
    <w:p w:rsidR="0057780A" w:rsidRDefault="0057780A" w:rsidP="0057780A">
      <w:r w:rsidRPr="003139F3">
        <w:t>As</w:t>
      </w:r>
      <w:r w:rsidR="00260E6B">
        <w:t xml:space="preserve"> Figuras 34 e 35</w:t>
      </w:r>
      <w:r>
        <w:t xml:space="preserve"> apresentam os dados de potência ativa normalizada ao longo do tempo para os </w:t>
      </w:r>
      <w:r w:rsidRPr="0057780A">
        <w:rPr>
          <w:i/>
        </w:rPr>
        <w:t>Blends</w:t>
      </w:r>
      <w:r>
        <w:t xml:space="preserve"> em ambos os </w:t>
      </w:r>
      <m:oMath>
        <m:r>
          <w:rPr>
            <w:rFonts w:ascii="Cambria Math" w:hAnsi="Cambria Math"/>
          </w:rPr>
          <m:t>Re</m:t>
        </m:r>
      </m:oMath>
      <w:r>
        <w:rPr>
          <w:rFonts w:eastAsiaTheme="minorEastAsia"/>
        </w:rPr>
        <w:t xml:space="preserve"> e concentrações, respectivamente</w:t>
      </w:r>
      <w:r>
        <w:t>.</w:t>
      </w:r>
    </w:p>
    <w:p w:rsidR="00B77F0A" w:rsidRDefault="00B77F0A" w:rsidP="00C91A0F">
      <w:pPr>
        <w:pStyle w:val="Figura-PG"/>
      </w:pPr>
      <w:bookmarkStart w:id="165" w:name="_Toc488706075"/>
      <w:r>
        <w:t xml:space="preserve">Figura </w:t>
      </w:r>
      <w:fldSimple w:instr=" SEQ Figura \* ARABIC ">
        <w:r w:rsidR="00B83733">
          <w:rPr>
            <w:noProof/>
          </w:rPr>
          <w:t>34</w:t>
        </w:r>
      </w:fldSimple>
      <w:r w:rsidR="00B35767">
        <w:t xml:space="preserve"> - </w:t>
      </w:r>
      <w:r w:rsidRPr="002C6D09">
        <w:t>Potência normalizada</w:t>
      </w:r>
      <w:r>
        <w:t xml:space="preserve"> dos Blends para </w:t>
      </w:r>
      <w:r w:rsidR="00B35767">
        <w:t xml:space="preserve">Re = 34000; </w:t>
      </w:r>
      <w:r>
        <w:t xml:space="preserve">Q = 2 </w:t>
      </w:r>
      <w:r w:rsidRPr="002C6D09">
        <w:t>m³/h.</w:t>
      </w:r>
      <w:bookmarkEnd w:id="165"/>
    </w:p>
    <w:p w:rsidR="00F13CCE" w:rsidRDefault="00B35767" w:rsidP="008F04AE">
      <w:pPr>
        <w:jc w:val="center"/>
      </w:pPr>
      <w:r w:rsidRPr="00B35767">
        <w:rPr>
          <w:noProof/>
          <w:lang w:eastAsia="pt-BR"/>
        </w:rPr>
        <w:drawing>
          <wp:inline distT="0" distB="0" distL="0" distR="0" wp14:anchorId="1581AFC9" wp14:editId="2B41663F">
            <wp:extent cx="3384525" cy="3312000"/>
            <wp:effectExtent l="0" t="0" r="6985" b="3175"/>
            <wp:docPr id="63" name="Imagem 63" descr="C:\Users\Jhonnilo\Google Drive\PG UFES\Drag Reduction\Testes\Graficos\Export\p blen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honnilo\Google Drive\PG UFES\Drag Reduction\Testes\Graficos\Export\p blend 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84525" cy="3312000"/>
                    </a:xfrm>
                    <a:prstGeom prst="rect">
                      <a:avLst/>
                    </a:prstGeom>
                    <a:noFill/>
                    <a:ln>
                      <a:noFill/>
                    </a:ln>
                  </pic:spPr>
                </pic:pic>
              </a:graphicData>
            </a:graphic>
          </wp:inline>
        </w:drawing>
      </w:r>
    </w:p>
    <w:p w:rsidR="00C91A0F" w:rsidRDefault="00C91A0F" w:rsidP="00C91A0F">
      <w:pPr>
        <w:jc w:val="center"/>
      </w:pPr>
      <w:r>
        <w:t>Fonte: Autoria própria</w:t>
      </w:r>
    </w:p>
    <w:p w:rsidR="00B77F0A" w:rsidRDefault="00B77F0A" w:rsidP="00C91A0F">
      <w:pPr>
        <w:pStyle w:val="Figura-PG"/>
      </w:pPr>
      <w:bookmarkStart w:id="166" w:name="_Toc488706076"/>
      <w:r>
        <w:t xml:space="preserve">Figura </w:t>
      </w:r>
      <w:fldSimple w:instr=" SEQ Figura \* ARABIC ">
        <w:r w:rsidR="0062259F">
          <w:rPr>
            <w:noProof/>
          </w:rPr>
          <w:t>35</w:t>
        </w:r>
      </w:fldSimple>
      <w:r w:rsidR="00B35767">
        <w:rPr>
          <w:noProof/>
        </w:rPr>
        <w:t xml:space="preserve"> - </w:t>
      </w:r>
      <w:r w:rsidRPr="00EF3217">
        <w:t xml:space="preserve">Potência normalizada dos Blends para </w:t>
      </w:r>
      <w:r w:rsidR="00B35767">
        <w:t xml:space="preserve">Re = 68000; </w:t>
      </w:r>
      <w:r w:rsidRPr="00EF3217">
        <w:t xml:space="preserve">Q = </w:t>
      </w:r>
      <w:r>
        <w:t xml:space="preserve">4 </w:t>
      </w:r>
      <w:r w:rsidRPr="00EF3217">
        <w:t>m³/h.</w:t>
      </w:r>
      <w:bookmarkEnd w:id="166"/>
    </w:p>
    <w:p w:rsidR="00F13CCE" w:rsidRDefault="00B35767" w:rsidP="008F04AE">
      <w:pPr>
        <w:jc w:val="center"/>
      </w:pPr>
      <w:r w:rsidRPr="00B35767">
        <w:rPr>
          <w:noProof/>
          <w:lang w:eastAsia="pt-BR"/>
        </w:rPr>
        <w:drawing>
          <wp:inline distT="0" distB="0" distL="0" distR="0" wp14:anchorId="06FC4985" wp14:editId="179D2380">
            <wp:extent cx="3384525" cy="3312000"/>
            <wp:effectExtent l="0" t="0" r="6985" b="3175"/>
            <wp:docPr id="66" name="Imagem 66" descr="C:\Users\Jhonnilo\Google Drive\PG UFES\Drag Reduction\Testes\Graficos\Export\p blend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honnilo\Google Drive\PG UFES\Drag Reduction\Testes\Graficos\Export\p blend 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84525" cy="3312000"/>
                    </a:xfrm>
                    <a:prstGeom prst="rect">
                      <a:avLst/>
                    </a:prstGeom>
                    <a:noFill/>
                    <a:ln>
                      <a:noFill/>
                    </a:ln>
                  </pic:spPr>
                </pic:pic>
              </a:graphicData>
            </a:graphic>
          </wp:inline>
        </w:drawing>
      </w:r>
    </w:p>
    <w:p w:rsidR="00C91A0F" w:rsidRDefault="00C91A0F" w:rsidP="00C91A0F">
      <w:pPr>
        <w:jc w:val="center"/>
      </w:pPr>
      <w:r>
        <w:t>Fonte: Autoria própria</w:t>
      </w:r>
    </w:p>
    <w:p w:rsidR="0030199A" w:rsidRDefault="00B83733" w:rsidP="00B83733">
      <w:pPr>
        <w:rPr>
          <w:rFonts w:eastAsiaTheme="minorEastAsia"/>
        </w:rPr>
      </w:pPr>
      <w:r>
        <w:lastRenderedPageBreak/>
        <w:t xml:space="preserve">Os resultados das curvas da Figura 34 indicam que há pouca influência da concentração na redução da potência ativa. Além de reafirmar a proximidade do comportamento das soluções misturadas com as soluções de PEO em números de Reynolds mais baixos. Na Figura 35, o mesmo comportamento é identificado para a solução de </w:t>
      </w:r>
      <m:oMath>
        <m:r>
          <w:rPr>
            <w:rFonts w:ascii="Cambria Math" w:hAnsi="Cambria Math"/>
          </w:rPr>
          <m:t>200 ppm</m:t>
        </m:r>
      </m:oMath>
      <w:r>
        <w:rPr>
          <w:rFonts w:eastAsiaTheme="minorEastAsia"/>
        </w:rPr>
        <w:t xml:space="preserve"> porém entende-se que isto ocorrera devido a outro motivo: o da degradação mecânica.</w:t>
      </w:r>
      <w:r w:rsidR="0073641D">
        <w:rPr>
          <w:rFonts w:eastAsiaTheme="minorEastAsia"/>
        </w:rPr>
        <w:t xml:space="preserve"> O melhor desempenho da solução de menor concentração após os primeiros 30 minutos de teste é outro indicativo d</w:t>
      </w:r>
      <w:r w:rsidR="0030199A">
        <w:rPr>
          <w:rFonts w:eastAsiaTheme="minorEastAsia"/>
        </w:rPr>
        <w:t xml:space="preserve">a ocorrência de uma inconsistência no resultado para a maior </w:t>
      </w:r>
      <w:r w:rsidR="002D4B85">
        <w:rPr>
          <w:rFonts w:eastAsiaTheme="minorEastAsia"/>
        </w:rPr>
        <w:t>concentração</w:t>
      </w:r>
      <w:r w:rsidR="0030199A">
        <w:rPr>
          <w:rFonts w:eastAsiaTheme="minorEastAsia"/>
        </w:rPr>
        <w:t>.</w:t>
      </w:r>
    </w:p>
    <w:p w:rsidR="00B35767" w:rsidRDefault="00B83733" w:rsidP="0030199A">
      <w:pPr>
        <w:rPr>
          <w:rFonts w:eastAsiaTheme="minorEastAsia"/>
        </w:rPr>
      </w:pPr>
      <w:r>
        <w:rPr>
          <w:rFonts w:eastAsiaTheme="minorEastAsia"/>
        </w:rPr>
        <w:t xml:space="preserve">Como relatado para os dados de </w:t>
      </w:r>
      <m:oMath>
        <m:r>
          <w:rPr>
            <w:rFonts w:ascii="Cambria Math" w:eastAsiaTheme="minorEastAsia" w:hAnsi="Cambria Math"/>
          </w:rPr>
          <m:t>DR%</m:t>
        </m:r>
      </m:oMath>
      <w:r w:rsidR="0030199A">
        <w:rPr>
          <w:rFonts w:eastAsiaTheme="minorEastAsia"/>
        </w:rPr>
        <w:t xml:space="preserve"> no item 4.4.1</w:t>
      </w:r>
      <w:r>
        <w:rPr>
          <w:rFonts w:eastAsiaTheme="minorEastAsia"/>
        </w:rPr>
        <w:t xml:space="preserve">, apenas a solução de </w:t>
      </w:r>
      <m:oMath>
        <m:r>
          <w:rPr>
            <w:rFonts w:ascii="Cambria Math" w:eastAsiaTheme="minorEastAsia" w:hAnsi="Cambria Math"/>
          </w:rPr>
          <m:t>100 ppm</m:t>
        </m:r>
      </m:oMath>
      <w:r>
        <w:rPr>
          <w:rFonts w:eastAsiaTheme="minorEastAsia"/>
        </w:rPr>
        <w:t xml:space="preserve"> </w:t>
      </w:r>
      <w:r w:rsidR="0073641D">
        <w:rPr>
          <w:rFonts w:eastAsiaTheme="minorEastAsia"/>
        </w:rPr>
        <w:t xml:space="preserve">neste patamar de </w:t>
      </w:r>
      <m:oMath>
        <m:r>
          <w:rPr>
            <w:rFonts w:ascii="Cambria Math" w:eastAsiaTheme="minorEastAsia" w:hAnsi="Cambria Math"/>
          </w:rPr>
          <m:t>Re</m:t>
        </m:r>
      </m:oMath>
      <w:r w:rsidR="0073641D">
        <w:rPr>
          <w:rFonts w:eastAsiaTheme="minorEastAsia"/>
        </w:rPr>
        <w:t xml:space="preserve"> desempenhou um resultado de acordo com os resultados esperados para esta solução.</w:t>
      </w:r>
    </w:p>
    <w:p w:rsidR="0030199A" w:rsidRPr="0030199A" w:rsidRDefault="0030199A" w:rsidP="0030199A">
      <w:pPr>
        <w:rPr>
          <w:rFonts w:eastAsiaTheme="minorEastAsia"/>
        </w:rPr>
      </w:pPr>
      <w:r>
        <w:rPr>
          <w:rFonts w:eastAsiaTheme="minorEastAsia"/>
        </w:rPr>
        <w:t xml:space="preserve">Por fim, a Tabela 6 indica a magnitude das reduções iniciais de potência para cada ensaio realizado com </w:t>
      </w:r>
      <w:r w:rsidRPr="0030199A">
        <w:rPr>
          <w:rFonts w:eastAsiaTheme="minorEastAsia"/>
          <w:i/>
        </w:rPr>
        <w:t>blends</w:t>
      </w:r>
      <w:r>
        <w:rPr>
          <w:rFonts w:eastAsiaTheme="minorEastAsia"/>
          <w:i/>
        </w:rPr>
        <w:t>.</w:t>
      </w:r>
    </w:p>
    <w:p w:rsidR="00C91A0F" w:rsidRDefault="00C91A0F" w:rsidP="00680703">
      <w:pPr>
        <w:pStyle w:val="Tabela-PG"/>
      </w:pPr>
      <w:bookmarkStart w:id="167" w:name="_Toc488706087"/>
      <w:r>
        <w:t xml:space="preserve">Tabela </w:t>
      </w:r>
      <w:fldSimple w:instr=" SEQ Tabela \* ARABIC ">
        <w:r>
          <w:rPr>
            <w:noProof/>
          </w:rPr>
          <w:t>6</w:t>
        </w:r>
      </w:fldSimple>
      <w:r w:rsidR="00B35767">
        <w:t xml:space="preserve"> - </w:t>
      </w:r>
      <w:r w:rsidRPr="00F445F2">
        <w:t xml:space="preserve">Potência ativa média para água ensaiada antes dos experimentos com </w:t>
      </w:r>
      <w:r>
        <w:t>Blends</w:t>
      </w:r>
      <w:r w:rsidRPr="00F445F2">
        <w:t xml:space="preserve"> e potência consumida nos instantes iniciais da adição da solução.</w:t>
      </w:r>
      <w:bookmarkEnd w:id="167"/>
    </w:p>
    <w:tbl>
      <w:tblPr>
        <w:tblW w:w="9121" w:type="dxa"/>
        <w:tblLayout w:type="fixed"/>
        <w:tblCellMar>
          <w:left w:w="70" w:type="dxa"/>
          <w:right w:w="70" w:type="dxa"/>
        </w:tblCellMar>
        <w:tblLook w:val="04A0" w:firstRow="1" w:lastRow="0" w:firstColumn="1" w:lastColumn="0" w:noHBand="0" w:noVBand="1"/>
      </w:tblPr>
      <w:tblGrid>
        <w:gridCol w:w="2380"/>
        <w:gridCol w:w="1685"/>
        <w:gridCol w:w="1685"/>
        <w:gridCol w:w="62"/>
        <w:gridCol w:w="1623"/>
        <w:gridCol w:w="1686"/>
      </w:tblGrid>
      <w:tr w:rsidR="005D7278" w:rsidRPr="000F2D0C" w:rsidTr="00723209">
        <w:trPr>
          <w:trHeight w:val="340"/>
        </w:trPr>
        <w:tc>
          <w:tcPr>
            <w:tcW w:w="2380" w:type="dxa"/>
            <w:tcBorders>
              <w:top w:val="single" w:sz="4" w:space="0" w:color="auto"/>
              <w:left w:val="nil"/>
              <w:bottom w:val="single" w:sz="4" w:space="0" w:color="auto"/>
              <w:right w:val="nil"/>
            </w:tcBorders>
            <w:shd w:val="clear" w:color="auto" w:fill="auto"/>
            <w:vAlign w:val="center"/>
            <w:hideMark/>
          </w:tcPr>
          <w:p w:rsidR="005D7278" w:rsidRPr="000F2D0C" w:rsidRDefault="005D7278" w:rsidP="006040DA">
            <w:pPr>
              <w:spacing w:after="0" w:line="240" w:lineRule="auto"/>
              <w:contextualSpacing w:val="0"/>
              <w:jc w:val="center"/>
              <w:rPr>
                <w:rFonts w:eastAsia="Times New Roman" w:cs="Arial"/>
                <w:b/>
                <w:i/>
                <w:iCs/>
                <w:color w:val="000000"/>
                <w:szCs w:val="24"/>
                <w:lang w:eastAsia="pt-BR"/>
              </w:rPr>
            </w:pPr>
            <w:r w:rsidRPr="000F2D0C">
              <w:rPr>
                <w:rFonts w:eastAsia="Times New Roman" w:cs="Arial"/>
                <w:b/>
                <w:i/>
                <w:iCs/>
                <w:color w:val="000000"/>
                <w:szCs w:val="24"/>
                <w:lang w:eastAsia="pt-BR"/>
              </w:rPr>
              <w:t> </w:t>
            </w:r>
          </w:p>
        </w:tc>
        <w:tc>
          <w:tcPr>
            <w:tcW w:w="3432" w:type="dxa"/>
            <w:gridSpan w:val="3"/>
            <w:tcBorders>
              <w:top w:val="single" w:sz="4" w:space="0" w:color="auto"/>
              <w:left w:val="nil"/>
              <w:bottom w:val="single" w:sz="4" w:space="0" w:color="auto"/>
              <w:right w:val="nil"/>
            </w:tcBorders>
            <w:shd w:val="clear" w:color="auto" w:fill="auto"/>
            <w:noWrap/>
            <w:vAlign w:val="center"/>
            <w:hideMark/>
          </w:tcPr>
          <w:p w:rsidR="005D7278" w:rsidRPr="000F2D0C" w:rsidRDefault="005D7278" w:rsidP="006040DA">
            <w:pPr>
              <w:spacing w:after="0" w:line="240" w:lineRule="auto"/>
              <w:contextualSpacing w:val="0"/>
              <w:jc w:val="center"/>
              <w:rPr>
                <w:rFonts w:eastAsia="Times New Roman" w:cs="Arial"/>
                <w:b/>
                <w:i/>
                <w:iCs/>
                <w:color w:val="000000"/>
                <w:szCs w:val="24"/>
                <w:lang w:eastAsia="pt-BR"/>
              </w:rPr>
            </w:pPr>
            <w:r w:rsidRPr="000F2D0C">
              <w:rPr>
                <w:rFonts w:eastAsia="Times New Roman" w:cs="Arial"/>
                <w:b/>
                <w:i/>
                <w:iCs/>
                <w:color w:val="000000"/>
                <w:szCs w:val="24"/>
                <w:lang w:eastAsia="pt-BR"/>
              </w:rPr>
              <w:t>2m³/h</w:t>
            </w:r>
          </w:p>
        </w:tc>
        <w:tc>
          <w:tcPr>
            <w:tcW w:w="3309" w:type="dxa"/>
            <w:gridSpan w:val="2"/>
            <w:tcBorders>
              <w:top w:val="single" w:sz="4" w:space="0" w:color="auto"/>
              <w:left w:val="nil"/>
              <w:bottom w:val="single" w:sz="4" w:space="0" w:color="auto"/>
              <w:right w:val="nil"/>
            </w:tcBorders>
            <w:shd w:val="clear" w:color="auto" w:fill="auto"/>
            <w:noWrap/>
            <w:vAlign w:val="center"/>
            <w:hideMark/>
          </w:tcPr>
          <w:p w:rsidR="005D7278" w:rsidRPr="000F2D0C" w:rsidRDefault="005D7278" w:rsidP="006040DA">
            <w:pPr>
              <w:spacing w:after="0" w:line="240" w:lineRule="auto"/>
              <w:contextualSpacing w:val="0"/>
              <w:jc w:val="center"/>
              <w:rPr>
                <w:rFonts w:eastAsia="Times New Roman" w:cs="Arial"/>
                <w:b/>
                <w:i/>
                <w:iCs/>
                <w:color w:val="000000"/>
                <w:szCs w:val="24"/>
                <w:lang w:eastAsia="pt-BR"/>
              </w:rPr>
            </w:pPr>
            <w:r w:rsidRPr="000F2D0C">
              <w:rPr>
                <w:rFonts w:eastAsia="Times New Roman" w:cs="Arial"/>
                <w:b/>
                <w:i/>
                <w:iCs/>
                <w:color w:val="000000"/>
                <w:szCs w:val="24"/>
                <w:lang w:eastAsia="pt-BR"/>
              </w:rPr>
              <w:t xml:space="preserve"> 4m³/h</w:t>
            </w:r>
          </w:p>
        </w:tc>
      </w:tr>
      <w:tr w:rsidR="005D7278" w:rsidRPr="000F2D0C" w:rsidTr="00723209">
        <w:trPr>
          <w:trHeight w:val="340"/>
        </w:trPr>
        <w:tc>
          <w:tcPr>
            <w:tcW w:w="2380" w:type="dxa"/>
            <w:tcBorders>
              <w:top w:val="nil"/>
              <w:left w:val="nil"/>
              <w:bottom w:val="single" w:sz="4" w:space="0" w:color="auto"/>
              <w:right w:val="nil"/>
            </w:tcBorders>
            <w:shd w:val="clear" w:color="auto" w:fill="auto"/>
            <w:noWrap/>
            <w:vAlign w:val="bottom"/>
            <w:hideMark/>
          </w:tcPr>
          <w:p w:rsidR="005D7278" w:rsidRPr="000F2D0C" w:rsidRDefault="005D7278" w:rsidP="006040DA">
            <w:pPr>
              <w:spacing w:after="0" w:line="240" w:lineRule="auto"/>
              <w:contextualSpacing w:val="0"/>
              <w:jc w:val="center"/>
              <w:rPr>
                <w:rFonts w:eastAsia="Times New Roman" w:cs="Arial"/>
                <w:b/>
                <w:i/>
                <w:iCs/>
                <w:color w:val="000000"/>
                <w:szCs w:val="24"/>
                <w:lang w:eastAsia="pt-BR"/>
              </w:rPr>
            </w:pPr>
            <w:r w:rsidRPr="000F2D0C">
              <w:rPr>
                <w:rFonts w:eastAsia="Times New Roman" w:cs="Arial"/>
                <w:b/>
                <w:i/>
                <w:iCs/>
                <w:color w:val="000000"/>
                <w:szCs w:val="24"/>
                <w:lang w:eastAsia="pt-BR"/>
              </w:rPr>
              <w:t> </w:t>
            </w:r>
          </w:p>
        </w:tc>
        <w:tc>
          <w:tcPr>
            <w:tcW w:w="1685" w:type="dxa"/>
            <w:tcBorders>
              <w:top w:val="nil"/>
              <w:left w:val="nil"/>
              <w:bottom w:val="single" w:sz="4" w:space="0" w:color="auto"/>
              <w:right w:val="nil"/>
            </w:tcBorders>
            <w:shd w:val="clear" w:color="auto" w:fill="auto"/>
            <w:vAlign w:val="center"/>
            <w:hideMark/>
          </w:tcPr>
          <w:p w:rsidR="005D7278" w:rsidRPr="000F2D0C" w:rsidRDefault="005D7278" w:rsidP="006040DA">
            <w:pPr>
              <w:spacing w:after="0" w:line="240" w:lineRule="auto"/>
              <w:contextualSpacing w:val="0"/>
              <w:jc w:val="center"/>
              <w:rPr>
                <w:rFonts w:eastAsia="Times New Roman" w:cs="Arial"/>
                <w:b/>
                <w:i/>
                <w:iCs/>
                <w:color w:val="000000"/>
                <w:szCs w:val="24"/>
                <w:lang w:eastAsia="pt-BR"/>
              </w:rPr>
            </w:pPr>
            <w:r w:rsidRPr="000F2D0C">
              <w:rPr>
                <w:rFonts w:eastAsia="Times New Roman" w:cs="Arial"/>
                <w:b/>
                <w:i/>
                <w:iCs/>
                <w:color w:val="000000"/>
                <w:szCs w:val="24"/>
                <w:lang w:eastAsia="pt-BR"/>
              </w:rPr>
              <w:t xml:space="preserve">Água [W] </w:t>
            </w:r>
          </w:p>
        </w:tc>
        <w:tc>
          <w:tcPr>
            <w:tcW w:w="1685" w:type="dxa"/>
            <w:tcBorders>
              <w:top w:val="nil"/>
              <w:left w:val="nil"/>
              <w:bottom w:val="nil"/>
              <w:right w:val="nil"/>
            </w:tcBorders>
            <w:shd w:val="clear" w:color="auto" w:fill="auto"/>
            <w:vAlign w:val="bottom"/>
            <w:hideMark/>
          </w:tcPr>
          <w:p w:rsidR="005D7278" w:rsidRPr="000F2D0C" w:rsidRDefault="005D7278" w:rsidP="006040DA">
            <w:pPr>
              <w:spacing w:after="0" w:line="240" w:lineRule="auto"/>
              <w:contextualSpacing w:val="0"/>
              <w:jc w:val="center"/>
              <w:rPr>
                <w:rFonts w:eastAsia="Times New Roman" w:cs="Arial"/>
                <w:b/>
                <w:i/>
                <w:iCs/>
                <w:color w:val="000000"/>
                <w:szCs w:val="24"/>
                <w:lang w:eastAsia="pt-BR"/>
              </w:rPr>
            </w:pPr>
            <w:r w:rsidRPr="000F2D0C">
              <w:rPr>
                <w:rFonts w:eastAsia="Times New Roman" w:cs="Arial"/>
                <w:b/>
                <w:i/>
                <w:iCs/>
                <w:color w:val="000000"/>
                <w:szCs w:val="24"/>
                <w:lang w:eastAsia="pt-BR"/>
              </w:rPr>
              <w:t>Pot</w:t>
            </w:r>
            <w:r>
              <w:rPr>
                <w:rFonts w:eastAsia="Times New Roman" w:cs="Arial"/>
                <w:b/>
                <w:i/>
                <w:iCs/>
                <w:color w:val="000000"/>
                <w:szCs w:val="24"/>
                <w:lang w:eastAsia="pt-BR"/>
              </w:rPr>
              <w:t>.</w:t>
            </w:r>
            <w:r w:rsidRPr="000F2D0C">
              <w:rPr>
                <w:rFonts w:eastAsia="Times New Roman" w:cs="Arial"/>
                <w:b/>
                <w:i/>
                <w:iCs/>
                <w:color w:val="000000"/>
                <w:szCs w:val="24"/>
                <w:lang w:eastAsia="pt-BR"/>
              </w:rPr>
              <w:t xml:space="preserve"> Inicial</w:t>
            </w:r>
            <w:r>
              <w:rPr>
                <w:rFonts w:eastAsia="Times New Roman" w:cs="Arial"/>
                <w:b/>
                <w:i/>
                <w:iCs/>
                <w:color w:val="000000"/>
                <w:szCs w:val="24"/>
                <w:lang w:eastAsia="pt-BR"/>
              </w:rPr>
              <w:t xml:space="preserve"> c/</w:t>
            </w:r>
            <w:r w:rsidRPr="000F2D0C">
              <w:rPr>
                <w:rFonts w:eastAsia="Times New Roman" w:cs="Arial"/>
                <w:b/>
                <w:i/>
                <w:iCs/>
                <w:color w:val="000000"/>
                <w:szCs w:val="24"/>
                <w:lang w:eastAsia="pt-BR"/>
              </w:rPr>
              <w:t xml:space="preserve"> Polímero [W] </w:t>
            </w:r>
          </w:p>
        </w:tc>
        <w:tc>
          <w:tcPr>
            <w:tcW w:w="1685" w:type="dxa"/>
            <w:gridSpan w:val="2"/>
            <w:tcBorders>
              <w:top w:val="nil"/>
              <w:left w:val="nil"/>
              <w:bottom w:val="single" w:sz="4" w:space="0" w:color="auto"/>
              <w:right w:val="nil"/>
            </w:tcBorders>
            <w:shd w:val="clear" w:color="auto" w:fill="auto"/>
            <w:vAlign w:val="center"/>
            <w:hideMark/>
          </w:tcPr>
          <w:p w:rsidR="005D7278" w:rsidRPr="000F2D0C" w:rsidRDefault="005D7278" w:rsidP="006040DA">
            <w:pPr>
              <w:spacing w:after="0" w:line="240" w:lineRule="auto"/>
              <w:contextualSpacing w:val="0"/>
              <w:jc w:val="center"/>
              <w:rPr>
                <w:rFonts w:eastAsia="Times New Roman" w:cs="Arial"/>
                <w:b/>
                <w:i/>
                <w:iCs/>
                <w:color w:val="000000"/>
                <w:szCs w:val="24"/>
                <w:lang w:eastAsia="pt-BR"/>
              </w:rPr>
            </w:pPr>
            <w:r w:rsidRPr="000F2D0C">
              <w:rPr>
                <w:rFonts w:eastAsia="Times New Roman" w:cs="Arial"/>
                <w:b/>
                <w:i/>
                <w:iCs/>
                <w:color w:val="000000"/>
                <w:szCs w:val="24"/>
                <w:lang w:eastAsia="pt-BR"/>
              </w:rPr>
              <w:t xml:space="preserve">Água [W] </w:t>
            </w:r>
          </w:p>
        </w:tc>
        <w:tc>
          <w:tcPr>
            <w:tcW w:w="1686" w:type="dxa"/>
            <w:tcBorders>
              <w:top w:val="nil"/>
              <w:left w:val="nil"/>
              <w:bottom w:val="nil"/>
              <w:right w:val="nil"/>
            </w:tcBorders>
            <w:shd w:val="clear" w:color="auto" w:fill="auto"/>
            <w:vAlign w:val="bottom"/>
            <w:hideMark/>
          </w:tcPr>
          <w:p w:rsidR="005D7278" w:rsidRPr="000F2D0C" w:rsidRDefault="005D7278" w:rsidP="006040DA">
            <w:pPr>
              <w:spacing w:after="0" w:line="240" w:lineRule="auto"/>
              <w:contextualSpacing w:val="0"/>
              <w:jc w:val="center"/>
              <w:rPr>
                <w:rFonts w:eastAsia="Times New Roman" w:cs="Arial"/>
                <w:b/>
                <w:i/>
                <w:iCs/>
                <w:color w:val="000000"/>
                <w:szCs w:val="24"/>
                <w:lang w:eastAsia="pt-BR"/>
              </w:rPr>
            </w:pPr>
            <w:r w:rsidRPr="000F2D0C">
              <w:rPr>
                <w:rFonts w:eastAsia="Times New Roman" w:cs="Arial"/>
                <w:b/>
                <w:i/>
                <w:iCs/>
                <w:color w:val="000000"/>
                <w:szCs w:val="24"/>
                <w:lang w:eastAsia="pt-BR"/>
              </w:rPr>
              <w:t>Pot</w:t>
            </w:r>
            <w:r>
              <w:rPr>
                <w:rFonts w:eastAsia="Times New Roman" w:cs="Arial"/>
                <w:b/>
                <w:i/>
                <w:iCs/>
                <w:color w:val="000000"/>
                <w:szCs w:val="24"/>
                <w:lang w:eastAsia="pt-BR"/>
              </w:rPr>
              <w:t>.</w:t>
            </w:r>
            <w:r w:rsidRPr="000F2D0C">
              <w:rPr>
                <w:rFonts w:eastAsia="Times New Roman" w:cs="Arial"/>
                <w:b/>
                <w:i/>
                <w:iCs/>
                <w:color w:val="000000"/>
                <w:szCs w:val="24"/>
                <w:lang w:eastAsia="pt-BR"/>
              </w:rPr>
              <w:t xml:space="preserve"> Inicial</w:t>
            </w:r>
            <w:r>
              <w:rPr>
                <w:rFonts w:eastAsia="Times New Roman" w:cs="Arial"/>
                <w:b/>
                <w:i/>
                <w:iCs/>
                <w:color w:val="000000"/>
                <w:szCs w:val="24"/>
                <w:lang w:eastAsia="pt-BR"/>
              </w:rPr>
              <w:t xml:space="preserve"> c/</w:t>
            </w:r>
            <w:r w:rsidRPr="000F2D0C">
              <w:rPr>
                <w:rFonts w:eastAsia="Times New Roman" w:cs="Arial"/>
                <w:b/>
                <w:i/>
                <w:iCs/>
                <w:color w:val="000000"/>
                <w:szCs w:val="24"/>
                <w:lang w:eastAsia="pt-BR"/>
              </w:rPr>
              <w:t xml:space="preserve"> Polímero [W] </w:t>
            </w:r>
          </w:p>
        </w:tc>
      </w:tr>
      <w:tr w:rsidR="005D7278" w:rsidRPr="000F2D0C" w:rsidTr="00723209">
        <w:trPr>
          <w:trHeight w:val="340"/>
        </w:trPr>
        <w:tc>
          <w:tcPr>
            <w:tcW w:w="2380" w:type="dxa"/>
            <w:tcBorders>
              <w:top w:val="nil"/>
              <w:left w:val="nil"/>
              <w:bottom w:val="single" w:sz="4" w:space="0" w:color="auto"/>
              <w:right w:val="nil"/>
            </w:tcBorders>
            <w:shd w:val="clear" w:color="auto" w:fill="auto"/>
            <w:vAlign w:val="center"/>
            <w:hideMark/>
          </w:tcPr>
          <w:p w:rsidR="005D7278" w:rsidRPr="000F2D0C" w:rsidRDefault="005D7278" w:rsidP="006040DA">
            <w:pPr>
              <w:spacing w:after="0" w:line="240" w:lineRule="auto"/>
              <w:contextualSpacing w:val="0"/>
              <w:jc w:val="center"/>
              <w:rPr>
                <w:rFonts w:ascii="Calibri" w:eastAsia="Times New Roman" w:hAnsi="Calibri" w:cs="Times New Roman"/>
                <w:color w:val="000000"/>
                <w:szCs w:val="24"/>
                <w:lang w:eastAsia="pt-BR"/>
              </w:rPr>
            </w:pPr>
            <w:r w:rsidRPr="000F2D0C">
              <w:rPr>
                <w:rFonts w:ascii="Calibri" w:eastAsia="Times New Roman" w:hAnsi="Calibri" w:cs="Times New Roman"/>
                <w:color w:val="000000"/>
                <w:szCs w:val="24"/>
                <w:lang w:eastAsia="pt-BR"/>
              </w:rPr>
              <w:t xml:space="preserve">Blend 100ppm </w:t>
            </w:r>
          </w:p>
        </w:tc>
        <w:tc>
          <w:tcPr>
            <w:tcW w:w="1685" w:type="dxa"/>
            <w:tcBorders>
              <w:top w:val="nil"/>
              <w:left w:val="nil"/>
              <w:bottom w:val="single" w:sz="4" w:space="0" w:color="auto"/>
              <w:right w:val="nil"/>
            </w:tcBorders>
            <w:shd w:val="clear" w:color="auto" w:fill="auto"/>
            <w:noWrap/>
            <w:vAlign w:val="center"/>
            <w:hideMark/>
          </w:tcPr>
          <w:p w:rsidR="005D7278" w:rsidRPr="000F2D0C" w:rsidRDefault="005D7278" w:rsidP="006040DA">
            <w:pPr>
              <w:spacing w:after="0" w:line="240" w:lineRule="auto"/>
              <w:contextualSpacing w:val="0"/>
              <w:jc w:val="center"/>
              <w:rPr>
                <w:rFonts w:ascii="Calibri" w:eastAsia="Times New Roman" w:hAnsi="Calibri" w:cs="Times New Roman"/>
                <w:color w:val="000000"/>
                <w:szCs w:val="24"/>
                <w:lang w:eastAsia="pt-BR"/>
              </w:rPr>
            </w:pPr>
            <w:r w:rsidRPr="000F2D0C">
              <w:rPr>
                <w:rFonts w:ascii="Calibri" w:eastAsia="Times New Roman" w:hAnsi="Calibri" w:cs="Times New Roman"/>
                <w:color w:val="000000"/>
                <w:szCs w:val="24"/>
                <w:lang w:eastAsia="pt-BR"/>
              </w:rPr>
              <w:t>507,3</w:t>
            </w:r>
          </w:p>
        </w:tc>
        <w:tc>
          <w:tcPr>
            <w:tcW w:w="1685" w:type="dxa"/>
            <w:tcBorders>
              <w:top w:val="single" w:sz="4" w:space="0" w:color="auto"/>
              <w:left w:val="nil"/>
              <w:bottom w:val="single" w:sz="4" w:space="0" w:color="auto"/>
              <w:right w:val="nil"/>
            </w:tcBorders>
            <w:shd w:val="clear" w:color="auto" w:fill="auto"/>
            <w:noWrap/>
            <w:vAlign w:val="center"/>
            <w:hideMark/>
          </w:tcPr>
          <w:p w:rsidR="005D7278" w:rsidRPr="000F2D0C" w:rsidRDefault="005D7278" w:rsidP="006040DA">
            <w:pPr>
              <w:spacing w:after="0" w:line="240" w:lineRule="auto"/>
              <w:contextualSpacing w:val="0"/>
              <w:jc w:val="center"/>
              <w:rPr>
                <w:rFonts w:ascii="Calibri" w:eastAsia="Times New Roman" w:hAnsi="Calibri" w:cs="Times New Roman"/>
                <w:color w:val="000000"/>
                <w:szCs w:val="24"/>
                <w:lang w:eastAsia="pt-BR"/>
              </w:rPr>
            </w:pPr>
            <w:r w:rsidRPr="000F2D0C">
              <w:rPr>
                <w:rFonts w:ascii="Calibri" w:eastAsia="Times New Roman" w:hAnsi="Calibri" w:cs="Times New Roman"/>
                <w:color w:val="000000"/>
                <w:szCs w:val="24"/>
                <w:lang w:eastAsia="pt-BR"/>
              </w:rPr>
              <w:t>369,9</w:t>
            </w:r>
          </w:p>
        </w:tc>
        <w:tc>
          <w:tcPr>
            <w:tcW w:w="1685" w:type="dxa"/>
            <w:gridSpan w:val="2"/>
            <w:tcBorders>
              <w:top w:val="nil"/>
              <w:left w:val="nil"/>
              <w:bottom w:val="single" w:sz="4" w:space="0" w:color="auto"/>
              <w:right w:val="nil"/>
            </w:tcBorders>
            <w:shd w:val="clear" w:color="auto" w:fill="auto"/>
            <w:noWrap/>
            <w:vAlign w:val="center"/>
            <w:hideMark/>
          </w:tcPr>
          <w:p w:rsidR="005D7278" w:rsidRPr="000F2D0C" w:rsidRDefault="005D7278" w:rsidP="006040DA">
            <w:pPr>
              <w:spacing w:after="0" w:line="240" w:lineRule="auto"/>
              <w:contextualSpacing w:val="0"/>
              <w:jc w:val="center"/>
              <w:rPr>
                <w:rFonts w:ascii="Calibri" w:eastAsia="Times New Roman" w:hAnsi="Calibri" w:cs="Times New Roman"/>
                <w:color w:val="000000"/>
                <w:szCs w:val="24"/>
                <w:lang w:eastAsia="pt-BR"/>
              </w:rPr>
            </w:pPr>
            <w:r w:rsidRPr="000F2D0C">
              <w:rPr>
                <w:rFonts w:ascii="Calibri" w:eastAsia="Times New Roman" w:hAnsi="Calibri" w:cs="Times New Roman"/>
                <w:color w:val="000000"/>
                <w:szCs w:val="24"/>
                <w:lang w:eastAsia="pt-BR"/>
              </w:rPr>
              <w:t>2917,9</w:t>
            </w:r>
          </w:p>
        </w:tc>
        <w:tc>
          <w:tcPr>
            <w:tcW w:w="1686" w:type="dxa"/>
            <w:tcBorders>
              <w:top w:val="single" w:sz="4" w:space="0" w:color="auto"/>
              <w:left w:val="nil"/>
              <w:bottom w:val="single" w:sz="4" w:space="0" w:color="auto"/>
              <w:right w:val="nil"/>
            </w:tcBorders>
            <w:shd w:val="clear" w:color="auto" w:fill="auto"/>
            <w:noWrap/>
            <w:vAlign w:val="center"/>
            <w:hideMark/>
          </w:tcPr>
          <w:p w:rsidR="005D7278" w:rsidRPr="000F2D0C" w:rsidRDefault="005D7278" w:rsidP="006040DA">
            <w:pPr>
              <w:spacing w:after="0" w:line="240" w:lineRule="auto"/>
              <w:contextualSpacing w:val="0"/>
              <w:jc w:val="center"/>
              <w:rPr>
                <w:rFonts w:ascii="Calibri" w:eastAsia="Times New Roman" w:hAnsi="Calibri" w:cs="Times New Roman"/>
                <w:color w:val="000000"/>
                <w:szCs w:val="24"/>
                <w:lang w:eastAsia="pt-BR"/>
              </w:rPr>
            </w:pPr>
            <w:r w:rsidRPr="000F2D0C">
              <w:rPr>
                <w:rFonts w:ascii="Calibri" w:eastAsia="Times New Roman" w:hAnsi="Calibri" w:cs="Times New Roman"/>
                <w:color w:val="000000"/>
                <w:szCs w:val="24"/>
                <w:lang w:eastAsia="pt-BR"/>
              </w:rPr>
              <w:t>1844,3</w:t>
            </w:r>
          </w:p>
        </w:tc>
      </w:tr>
      <w:tr w:rsidR="005D7278" w:rsidRPr="000F2D0C" w:rsidTr="00723209">
        <w:trPr>
          <w:trHeight w:val="340"/>
        </w:trPr>
        <w:tc>
          <w:tcPr>
            <w:tcW w:w="2380" w:type="dxa"/>
            <w:tcBorders>
              <w:top w:val="nil"/>
              <w:left w:val="nil"/>
              <w:bottom w:val="single" w:sz="4" w:space="0" w:color="auto"/>
              <w:right w:val="nil"/>
            </w:tcBorders>
            <w:shd w:val="clear" w:color="auto" w:fill="auto"/>
            <w:vAlign w:val="center"/>
            <w:hideMark/>
          </w:tcPr>
          <w:p w:rsidR="005D7278" w:rsidRPr="000F2D0C" w:rsidRDefault="005D7278" w:rsidP="006040DA">
            <w:pPr>
              <w:spacing w:after="0" w:line="240" w:lineRule="auto"/>
              <w:contextualSpacing w:val="0"/>
              <w:jc w:val="center"/>
              <w:rPr>
                <w:rFonts w:ascii="Calibri" w:eastAsia="Times New Roman" w:hAnsi="Calibri" w:cs="Times New Roman"/>
                <w:color w:val="000000"/>
                <w:szCs w:val="24"/>
                <w:lang w:eastAsia="pt-BR"/>
              </w:rPr>
            </w:pPr>
            <w:r>
              <w:rPr>
                <w:rFonts w:ascii="Calibri" w:eastAsia="Times New Roman" w:hAnsi="Calibri" w:cs="Times New Roman"/>
                <w:color w:val="000000"/>
                <w:szCs w:val="24"/>
                <w:lang w:eastAsia="pt-BR"/>
              </w:rPr>
              <w:t>Blend 200ppm</w:t>
            </w:r>
          </w:p>
        </w:tc>
        <w:tc>
          <w:tcPr>
            <w:tcW w:w="1685" w:type="dxa"/>
            <w:tcBorders>
              <w:top w:val="nil"/>
              <w:left w:val="nil"/>
              <w:bottom w:val="single" w:sz="4" w:space="0" w:color="auto"/>
              <w:right w:val="nil"/>
            </w:tcBorders>
            <w:shd w:val="clear" w:color="auto" w:fill="auto"/>
            <w:noWrap/>
            <w:vAlign w:val="center"/>
            <w:hideMark/>
          </w:tcPr>
          <w:p w:rsidR="005D7278" w:rsidRPr="000F2D0C" w:rsidRDefault="005D7278" w:rsidP="006040DA">
            <w:pPr>
              <w:spacing w:after="0" w:line="240" w:lineRule="auto"/>
              <w:contextualSpacing w:val="0"/>
              <w:jc w:val="center"/>
              <w:rPr>
                <w:rFonts w:ascii="Calibri" w:eastAsia="Times New Roman" w:hAnsi="Calibri" w:cs="Times New Roman"/>
                <w:color w:val="000000"/>
                <w:szCs w:val="24"/>
                <w:lang w:eastAsia="pt-BR"/>
              </w:rPr>
            </w:pPr>
            <w:r w:rsidRPr="000F2D0C">
              <w:rPr>
                <w:rFonts w:ascii="Calibri" w:eastAsia="Times New Roman" w:hAnsi="Calibri" w:cs="Times New Roman"/>
                <w:color w:val="000000"/>
                <w:szCs w:val="24"/>
                <w:lang w:eastAsia="pt-BR"/>
              </w:rPr>
              <w:t>496,2</w:t>
            </w:r>
          </w:p>
        </w:tc>
        <w:tc>
          <w:tcPr>
            <w:tcW w:w="1685" w:type="dxa"/>
            <w:tcBorders>
              <w:top w:val="nil"/>
              <w:left w:val="nil"/>
              <w:bottom w:val="single" w:sz="4" w:space="0" w:color="auto"/>
              <w:right w:val="nil"/>
            </w:tcBorders>
            <w:shd w:val="clear" w:color="auto" w:fill="auto"/>
            <w:noWrap/>
            <w:vAlign w:val="center"/>
            <w:hideMark/>
          </w:tcPr>
          <w:p w:rsidR="005D7278" w:rsidRPr="000F2D0C" w:rsidRDefault="005D7278" w:rsidP="006040DA">
            <w:pPr>
              <w:spacing w:after="0" w:line="240" w:lineRule="auto"/>
              <w:contextualSpacing w:val="0"/>
              <w:jc w:val="center"/>
              <w:rPr>
                <w:rFonts w:ascii="Calibri" w:eastAsia="Times New Roman" w:hAnsi="Calibri" w:cs="Times New Roman"/>
                <w:color w:val="000000"/>
                <w:szCs w:val="24"/>
                <w:lang w:eastAsia="pt-BR"/>
              </w:rPr>
            </w:pPr>
            <w:r w:rsidRPr="000F2D0C">
              <w:rPr>
                <w:rFonts w:ascii="Calibri" w:eastAsia="Times New Roman" w:hAnsi="Calibri" w:cs="Times New Roman"/>
                <w:color w:val="000000"/>
                <w:szCs w:val="24"/>
                <w:lang w:eastAsia="pt-BR"/>
              </w:rPr>
              <w:t>357,1</w:t>
            </w:r>
          </w:p>
        </w:tc>
        <w:tc>
          <w:tcPr>
            <w:tcW w:w="1685" w:type="dxa"/>
            <w:gridSpan w:val="2"/>
            <w:tcBorders>
              <w:top w:val="nil"/>
              <w:left w:val="nil"/>
              <w:bottom w:val="single" w:sz="4" w:space="0" w:color="auto"/>
              <w:right w:val="nil"/>
            </w:tcBorders>
            <w:shd w:val="clear" w:color="auto" w:fill="auto"/>
            <w:noWrap/>
            <w:vAlign w:val="center"/>
            <w:hideMark/>
          </w:tcPr>
          <w:p w:rsidR="005D7278" w:rsidRPr="000F2D0C" w:rsidRDefault="005D7278" w:rsidP="006040DA">
            <w:pPr>
              <w:spacing w:after="0" w:line="240" w:lineRule="auto"/>
              <w:contextualSpacing w:val="0"/>
              <w:jc w:val="center"/>
              <w:rPr>
                <w:rFonts w:ascii="Calibri" w:eastAsia="Times New Roman" w:hAnsi="Calibri" w:cs="Times New Roman"/>
                <w:color w:val="000000"/>
                <w:szCs w:val="24"/>
                <w:lang w:eastAsia="pt-BR"/>
              </w:rPr>
            </w:pPr>
            <w:r w:rsidRPr="000F2D0C">
              <w:rPr>
                <w:rFonts w:ascii="Calibri" w:eastAsia="Times New Roman" w:hAnsi="Calibri" w:cs="Times New Roman"/>
                <w:color w:val="000000"/>
                <w:szCs w:val="24"/>
                <w:lang w:eastAsia="pt-BR"/>
              </w:rPr>
              <w:t>2901,5</w:t>
            </w:r>
          </w:p>
        </w:tc>
        <w:tc>
          <w:tcPr>
            <w:tcW w:w="1686" w:type="dxa"/>
            <w:tcBorders>
              <w:top w:val="nil"/>
              <w:left w:val="nil"/>
              <w:bottom w:val="single" w:sz="4" w:space="0" w:color="auto"/>
              <w:right w:val="nil"/>
            </w:tcBorders>
            <w:shd w:val="clear" w:color="auto" w:fill="auto"/>
            <w:noWrap/>
            <w:vAlign w:val="center"/>
            <w:hideMark/>
          </w:tcPr>
          <w:p w:rsidR="005D7278" w:rsidRPr="000F2D0C" w:rsidRDefault="005D7278" w:rsidP="006040DA">
            <w:pPr>
              <w:spacing w:after="0" w:line="240" w:lineRule="auto"/>
              <w:contextualSpacing w:val="0"/>
              <w:jc w:val="center"/>
              <w:rPr>
                <w:rFonts w:ascii="Calibri" w:eastAsia="Times New Roman" w:hAnsi="Calibri" w:cs="Times New Roman"/>
                <w:color w:val="000000"/>
                <w:szCs w:val="24"/>
                <w:lang w:eastAsia="pt-BR"/>
              </w:rPr>
            </w:pPr>
            <w:r w:rsidRPr="000F2D0C">
              <w:rPr>
                <w:rFonts w:ascii="Calibri" w:eastAsia="Times New Roman" w:hAnsi="Calibri" w:cs="Times New Roman"/>
                <w:color w:val="000000"/>
                <w:szCs w:val="24"/>
                <w:lang w:eastAsia="pt-BR"/>
              </w:rPr>
              <w:t>1782,3</w:t>
            </w:r>
          </w:p>
        </w:tc>
      </w:tr>
    </w:tbl>
    <w:p w:rsidR="001D7158" w:rsidRPr="00C91A0F" w:rsidRDefault="00C91A0F" w:rsidP="00C91A0F">
      <w:pPr>
        <w:jc w:val="center"/>
      </w:pPr>
      <w:r w:rsidRPr="00C91A0F">
        <w:t>Fonte: Autoria Própria</w:t>
      </w:r>
    </w:p>
    <w:p w:rsidR="00FE037F" w:rsidRDefault="00FE037F" w:rsidP="001D7158">
      <w:pPr>
        <w:pStyle w:val="Nvel1-PG"/>
      </w:pPr>
    </w:p>
    <w:p w:rsidR="001D7158" w:rsidRDefault="00A16BA1" w:rsidP="001D7158">
      <w:pPr>
        <w:pStyle w:val="Nvel1-PG"/>
      </w:pPr>
      <w:bookmarkStart w:id="168" w:name="_Toc488678380"/>
      <w:r>
        <w:t>4.5</w:t>
      </w:r>
      <w:r w:rsidR="001D7158" w:rsidRPr="00952F5B">
        <w:t xml:space="preserve"> </w:t>
      </w:r>
      <w:r w:rsidR="001D7158">
        <w:t>Economia de Energia</w:t>
      </w:r>
      <w:bookmarkEnd w:id="168"/>
    </w:p>
    <w:p w:rsidR="00A557B4" w:rsidRDefault="00A557B4" w:rsidP="00BE2021">
      <w:r w:rsidRPr="00A557B4">
        <w:t xml:space="preserve">A </w:t>
      </w:r>
      <w:r w:rsidR="00D16A85">
        <w:t xml:space="preserve">fim de se </w:t>
      </w:r>
      <w:r w:rsidR="00BE2021">
        <w:t>avaliar os ganhos energéticos que a redução de arraste pode proporcionar, uma análise da economia de energia</w:t>
      </w:r>
      <w:r w:rsidR="00885CFE">
        <w:t xml:space="preserve"> obtida</w:t>
      </w:r>
      <w:r w:rsidR="00BE2021">
        <w:t xml:space="preserve"> por cada solução foi realizada. O intuito desta análise consiste na escolha d</w:t>
      </w:r>
      <w:r w:rsidR="00D16A85">
        <w:t xml:space="preserve">o polímero que melhor desempenhe a </w:t>
      </w:r>
      <w:r w:rsidR="00BC1D6E">
        <w:t>redução</w:t>
      </w:r>
      <w:r w:rsidR="00D16A85">
        <w:t xml:space="preserve"> </w:t>
      </w:r>
      <w:r w:rsidR="00BE2021">
        <w:t>de</w:t>
      </w:r>
      <w:r w:rsidR="00D16A85">
        <w:t xml:space="preserve"> arraste ao longo do tempo, economizando</w:t>
      </w:r>
      <w:r w:rsidR="00A77033">
        <w:t xml:space="preserve">, consequentemente, </w:t>
      </w:r>
      <w:r w:rsidR="00BE2021">
        <w:t xml:space="preserve">a maior quantidade de </w:t>
      </w:r>
      <w:r w:rsidR="00D16A85">
        <w:t xml:space="preserve">energia em relação ao </w:t>
      </w:r>
      <w:r w:rsidR="00A77033">
        <w:t>mesmo escoamento com o</w:t>
      </w:r>
      <w:r w:rsidR="00D16A85">
        <w:t xml:space="preserve"> solvente puro. As</w:t>
      </w:r>
      <w:r w:rsidR="00007B3E">
        <w:t xml:space="preserve"> Figuras</w:t>
      </w:r>
      <w:r w:rsidR="005566CA">
        <w:t>B</w:t>
      </w:r>
      <w:r w:rsidR="00D16A85">
        <w:t xml:space="preserve"> </w:t>
      </w:r>
      <w:r w:rsidR="00BE2021" w:rsidRPr="00BE2021">
        <w:fldChar w:fldCharType="begin"/>
      </w:r>
      <w:r w:rsidR="00BE2021" w:rsidRPr="00BE2021">
        <w:instrText xml:space="preserve"> REF _Ref488111470 \h  \* MERGEFORMAT </w:instrText>
      </w:r>
      <w:r w:rsidR="00BE2021" w:rsidRPr="00BE2021">
        <w:fldChar w:fldCharType="separate"/>
      </w:r>
      <w:r w:rsidR="0062259F">
        <w:rPr>
          <w:noProof/>
        </w:rPr>
        <w:t>38</w:t>
      </w:r>
      <w:r w:rsidR="00BE2021" w:rsidRPr="00BE2021">
        <w:fldChar w:fldCharType="end"/>
      </w:r>
      <w:r w:rsidR="00BC1D6E">
        <w:t xml:space="preserve"> e </w:t>
      </w:r>
      <w:r w:rsidR="0062259F">
        <w:t>39</w:t>
      </w:r>
      <w:r w:rsidR="00BC1D6E">
        <w:t xml:space="preserve"> </w:t>
      </w:r>
      <w:r w:rsidR="008B67CF">
        <w:t>representam as curvas de energia economizada em função do tempo de duração do experimento.</w:t>
      </w:r>
    </w:p>
    <w:p w:rsidR="0030199A" w:rsidRDefault="0030199A" w:rsidP="00BE2021"/>
    <w:p w:rsidR="0030199A" w:rsidRDefault="0030199A" w:rsidP="00BE2021"/>
    <w:p w:rsidR="0030199A" w:rsidRDefault="0030199A" w:rsidP="00BE2021"/>
    <w:p w:rsidR="0030199A" w:rsidRPr="00A557B4" w:rsidRDefault="0030199A" w:rsidP="00BE2021"/>
    <w:p w:rsidR="00D16A85" w:rsidRDefault="00D16A85" w:rsidP="00BC1D6E">
      <w:pPr>
        <w:pStyle w:val="Figura-PG"/>
      </w:pPr>
      <w:bookmarkStart w:id="169" w:name="_Ref488111470"/>
      <w:bookmarkStart w:id="170" w:name="_Toc488706077"/>
      <w:r>
        <w:lastRenderedPageBreak/>
        <w:t xml:space="preserve">Figura </w:t>
      </w:r>
      <w:fldSimple w:instr=" SEQ Figura \* ARABIC ">
        <w:r w:rsidR="0062259F">
          <w:rPr>
            <w:noProof/>
          </w:rPr>
          <w:t>38</w:t>
        </w:r>
      </w:fldSimple>
      <w:bookmarkEnd w:id="169"/>
      <w:r w:rsidR="00237ABB">
        <w:rPr>
          <w:noProof/>
        </w:rPr>
        <w:t xml:space="preserve"> -</w:t>
      </w:r>
      <w:r>
        <w:t xml:space="preserve"> Economia de energi</w:t>
      </w:r>
      <w:r w:rsidR="00237ABB">
        <w:t>a acumulada ao longo do</w:t>
      </w:r>
      <w:r w:rsidR="00213154">
        <w:t>s</w:t>
      </w:r>
      <w:r>
        <w:t xml:space="preserve"> experimento</w:t>
      </w:r>
      <w:r w:rsidR="00213154">
        <w:t>s</w:t>
      </w:r>
      <w:r>
        <w:t xml:space="preserve"> para</w:t>
      </w:r>
      <w:r w:rsidR="00BC1D6E">
        <w:t xml:space="preserve"> Re = 34000;</w:t>
      </w:r>
      <w:r>
        <w:t xml:space="preserve"> Q = 2 m³/h</w:t>
      </w:r>
      <w:r w:rsidR="00BC1D6E">
        <w:t>.</w:t>
      </w:r>
      <w:bookmarkEnd w:id="170"/>
    </w:p>
    <w:p w:rsidR="00A9236E" w:rsidRDefault="00D16A85" w:rsidP="00A9236E">
      <w:pPr>
        <w:jc w:val="center"/>
      </w:pPr>
      <w:r>
        <w:rPr>
          <w:noProof/>
          <w:lang w:eastAsia="pt-BR"/>
        </w:rPr>
        <w:drawing>
          <wp:inline distT="0" distB="0" distL="0" distR="0" wp14:anchorId="1D2EEB81" wp14:editId="2C0D7773">
            <wp:extent cx="4319386" cy="2700020"/>
            <wp:effectExtent l="0" t="0" r="5080" b="508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69" t="2239" r="313" b="591"/>
                    <a:stretch/>
                  </pic:blipFill>
                  <pic:spPr bwMode="auto">
                    <a:xfrm>
                      <a:off x="0" y="0"/>
                      <a:ext cx="4320000" cy="2700404"/>
                    </a:xfrm>
                    <a:prstGeom prst="rect">
                      <a:avLst/>
                    </a:prstGeom>
                    <a:noFill/>
                    <a:ln>
                      <a:noFill/>
                    </a:ln>
                    <a:extLst>
                      <a:ext uri="{53640926-AAD7-44D8-BBD7-CCE9431645EC}">
                        <a14:shadowObscured xmlns:a14="http://schemas.microsoft.com/office/drawing/2010/main"/>
                      </a:ext>
                    </a:extLst>
                  </pic:spPr>
                </pic:pic>
              </a:graphicData>
            </a:graphic>
          </wp:inline>
        </w:drawing>
      </w:r>
    </w:p>
    <w:p w:rsidR="00D16A85" w:rsidRDefault="00D16A85" w:rsidP="00BC1D6E">
      <w:pPr>
        <w:pStyle w:val="Figura-PG"/>
      </w:pPr>
      <w:bookmarkStart w:id="171" w:name="_Ref488111471"/>
      <w:bookmarkStart w:id="172" w:name="_Toc488706078"/>
      <w:r>
        <w:t xml:space="preserve">Figura </w:t>
      </w:r>
      <w:fldSimple w:instr=" SEQ Figura \* ARABIC ">
        <w:r w:rsidR="0062259F">
          <w:rPr>
            <w:noProof/>
          </w:rPr>
          <w:t>39</w:t>
        </w:r>
      </w:fldSimple>
      <w:bookmarkEnd w:id="171"/>
      <w:r w:rsidR="00A9236E">
        <w:rPr>
          <w:noProof/>
        </w:rPr>
        <w:t xml:space="preserve"> -</w:t>
      </w:r>
      <w:r w:rsidR="00A9236E">
        <w:t xml:space="preserve"> Economia de energia acumulada ao longo dos experimentos para Re = </w:t>
      </w:r>
      <w:r w:rsidR="00BC1D6E">
        <w:t xml:space="preserve">68000; </w:t>
      </w:r>
      <w:r w:rsidRPr="00A870DA">
        <w:t xml:space="preserve">Q = </w:t>
      </w:r>
      <w:r>
        <w:t>4</w:t>
      </w:r>
      <w:r w:rsidRPr="00A870DA">
        <w:t xml:space="preserve"> m³/h</w:t>
      </w:r>
      <w:bookmarkEnd w:id="172"/>
    </w:p>
    <w:p w:rsidR="009B7603" w:rsidRDefault="00A557B4" w:rsidP="00A017BA">
      <w:pPr>
        <w:jc w:val="center"/>
      </w:pPr>
      <w:r>
        <w:rPr>
          <w:noProof/>
          <w:lang w:eastAsia="pt-BR"/>
        </w:rPr>
        <w:drawing>
          <wp:inline distT="0" distB="0" distL="0" distR="0" wp14:anchorId="1BAC4A7A" wp14:editId="3BB1D9AD">
            <wp:extent cx="4320000" cy="2732999"/>
            <wp:effectExtent l="0" t="0" r="4445"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4">
                      <a:extLst>
                        <a:ext uri="{28A0092B-C50C-407E-A947-70E740481C1C}">
                          <a14:useLocalDpi xmlns:a14="http://schemas.microsoft.com/office/drawing/2010/main" val="0"/>
                        </a:ext>
                      </a:extLst>
                    </a:blip>
                    <a:srcRect l="1477" t="2389" r="481" b="531"/>
                    <a:stretch/>
                  </pic:blipFill>
                  <pic:spPr bwMode="auto">
                    <a:xfrm>
                      <a:off x="0" y="0"/>
                      <a:ext cx="4320000" cy="2732999"/>
                    </a:xfrm>
                    <a:prstGeom prst="rect">
                      <a:avLst/>
                    </a:prstGeom>
                    <a:noFill/>
                    <a:ln>
                      <a:noFill/>
                    </a:ln>
                    <a:extLst>
                      <a:ext uri="{53640926-AAD7-44D8-BBD7-CCE9431645EC}">
                        <a14:shadowObscured xmlns:a14="http://schemas.microsoft.com/office/drawing/2010/main"/>
                      </a:ext>
                    </a:extLst>
                  </pic:spPr>
                </pic:pic>
              </a:graphicData>
            </a:graphic>
          </wp:inline>
        </w:drawing>
      </w:r>
    </w:p>
    <w:p w:rsidR="008B67CF" w:rsidRDefault="007024E4" w:rsidP="00A017BA">
      <w:r>
        <w:t>Os dados são expressos de forma acumulada para que se compreenda como se comporta a curva de energia ao longo do tempo,</w:t>
      </w:r>
      <w:r w:rsidR="00A77033">
        <w:t xml:space="preserve"> ou seja, se uma curva</w:t>
      </w:r>
      <w:r>
        <w:t xml:space="preserve"> tende a tornar-se assintótica ao longo do tempo, significa que o políme</w:t>
      </w:r>
      <w:r w:rsidR="00A77033">
        <w:t>ro se degradou completamente, cessando a</w:t>
      </w:r>
      <w:r>
        <w:t xml:space="preserve"> economia de energia. </w:t>
      </w:r>
      <w:r w:rsidR="00A77033">
        <w:t>Por outro lado</w:t>
      </w:r>
      <w:r>
        <w:t>, quanto mai</w:t>
      </w:r>
      <w:r w:rsidR="00030942">
        <w:t>or a inclinação da curva no final do teste</w:t>
      </w:r>
      <w:r>
        <w:t>, maior é a capacidade da solução continuar promovendo a redução de arraste, economizando energia</w:t>
      </w:r>
      <w:r w:rsidR="00A77033">
        <w:t xml:space="preserve"> por um tempo maior do que o ensaiado</w:t>
      </w:r>
      <w:r>
        <w:t>.</w:t>
      </w:r>
    </w:p>
    <w:p w:rsidR="00A77033" w:rsidRPr="00A017BA" w:rsidRDefault="00BC1D6E" w:rsidP="00A017BA">
      <w:r>
        <w:t>Devido à</w:t>
      </w:r>
      <w:r w:rsidR="00A77033">
        <w:t xml:space="preserve"> diferença de magnitude da potência demandada</w:t>
      </w:r>
      <w:r>
        <w:t xml:space="preserve"> para cada</w:t>
      </w:r>
      <w:r w:rsidR="00A77033">
        <w:t xml:space="preserve"> a vazão, os gráficos foram separados para melhor </w:t>
      </w:r>
      <w:r>
        <w:t>visualização dos resultados</w:t>
      </w:r>
      <w:r w:rsidR="00A77033">
        <w:t xml:space="preserve">. Em ambos os casos a Goma Guar com concentração de 200 ppm desempenhou a maior economia </w:t>
      </w:r>
      <w:r w:rsidR="00A77033" w:rsidRPr="00A017BA">
        <w:lastRenderedPageBreak/>
        <w:t>de energia no período ensaiado. Além disso, ao final do teste, a curva ainda demonstra a maior taxa de economia de energia (inclinação em relação ao eixo horizontal), não apresentando uma assíntota aparente, pelo menos durante o período analisado. Isso se deve novamente ao fato da Goma Guar ser um polímero rígido, que sofre muito menos com a degradação se comparado à polímeros flexíveis (p.e. PEO).</w:t>
      </w:r>
    </w:p>
    <w:p w:rsidR="008B67CF" w:rsidRPr="00A017BA" w:rsidRDefault="003B7E6D" w:rsidP="00A017BA">
      <w:r w:rsidRPr="00A017BA">
        <w:t>Por apresentar esta tendência linear com inclinação a</w:t>
      </w:r>
      <w:r w:rsidR="000D2758" w:rsidRPr="00A017BA">
        <w:t>centuada ao final do teste, são necessários ensaios mais longos para se determinar por quanto tempo a solução possui a capacidade de economizar energia ou até mesmo se a degradação polimérica para de ocorre, mantendo uma economia de energia constante em relação ao solvente.</w:t>
      </w:r>
    </w:p>
    <w:p w:rsidR="00686D00" w:rsidRDefault="00F42EB9" w:rsidP="004C240D">
      <w:r>
        <w:t xml:space="preserve">Vale ressaltar que a redução do consumo de potência ativa, que resulta na economia de energia, também implica na queda do fator de potência </w:t>
      </w:r>
      <w:r w:rsidR="008D3288">
        <w:t>de</w:t>
      </w:r>
      <w:r>
        <w:t xml:space="preserve"> funcionamento das bombas, o que pode </w:t>
      </w:r>
      <w:r w:rsidR="008D3288">
        <w:t>resultar na cobrança de uma taxa referente ao c</w:t>
      </w:r>
      <w:r w:rsidR="008D3288" w:rsidRPr="008D3288">
        <w:t xml:space="preserve">onsumo de </w:t>
      </w:r>
      <w:r w:rsidR="008D3288">
        <w:t xml:space="preserve">energia reativa excedente, dependendo da relevância do equipamento frente à demanda total de potência reativa do empreendimento em questão. A </w:t>
      </w:r>
      <w:r w:rsidR="004C240D">
        <w:fldChar w:fldCharType="begin"/>
      </w:r>
      <w:r w:rsidR="004C240D">
        <w:instrText xml:space="preserve"> REF _Ref488667741 \h  \* MERGEFORMAT </w:instrText>
      </w:r>
      <w:r w:rsidR="004C240D">
        <w:fldChar w:fldCharType="separate"/>
      </w:r>
      <w:r w:rsidR="004C240D">
        <w:t xml:space="preserve">Figura </w:t>
      </w:r>
      <w:r w:rsidR="004C240D">
        <w:rPr>
          <w:noProof/>
        </w:rPr>
        <w:t>41</w:t>
      </w:r>
      <w:r w:rsidR="004C240D">
        <w:fldChar w:fldCharType="end"/>
      </w:r>
      <w:r w:rsidR="008D3288">
        <w:t xml:space="preserve"> apresenta a atuação das soluções de Goma Guar a </w:t>
      </w:r>
      <m:oMath>
        <m:r>
          <w:rPr>
            <w:rFonts w:ascii="Cambria Math" w:hAnsi="Cambria Math"/>
          </w:rPr>
          <m:t>50</m:t>
        </m:r>
      </m:oMath>
      <w:r w:rsidR="008D3288">
        <w:t xml:space="preserve"> e </w:t>
      </w:r>
      <m:oMath>
        <m:r>
          <w:rPr>
            <w:rFonts w:ascii="Cambria Math" w:hAnsi="Cambria Math"/>
          </w:rPr>
          <m:t>200 ppm</m:t>
        </m:r>
      </m:oMath>
      <w:r w:rsidR="008D3288">
        <w:t xml:space="preserve"> no fator de potência. É perceptível que o comportamento do fator de potência é análogo às demais variáveis já discutidas nas seções anteriores (</w:t>
      </w:r>
      <m:oMath>
        <m:r>
          <w:rPr>
            <w:rFonts w:ascii="Cambria Math" w:hAnsi="Cambria Math"/>
          </w:rPr>
          <m:t>f, DR%, P)</m:t>
        </m:r>
      </m:oMath>
      <w:r w:rsidR="008D3288">
        <w:t xml:space="preserve">. </w:t>
      </w:r>
    </w:p>
    <w:p w:rsidR="004C240D" w:rsidRDefault="004C240D" w:rsidP="004C240D">
      <w:pPr>
        <w:pStyle w:val="Figura-PG"/>
      </w:pPr>
      <w:bookmarkStart w:id="173" w:name="_Ref488667741"/>
      <w:bookmarkStart w:id="174" w:name="_Toc488706079"/>
      <w:r>
        <w:t xml:space="preserve">Figura </w:t>
      </w:r>
      <w:fldSimple w:instr=" SEQ Figura \* ARABIC ">
        <w:r w:rsidR="0062259F">
          <w:rPr>
            <w:noProof/>
          </w:rPr>
          <w:t>40</w:t>
        </w:r>
      </w:fldSimple>
      <w:bookmarkEnd w:id="173"/>
      <w:r w:rsidR="0030199A">
        <w:t xml:space="preserve"> - Fator de potência das</w:t>
      </w:r>
      <w:r>
        <w:t xml:space="preserve"> soluções de Goma Guar a 50 e 200 ppm em Re = 68000; Q = 4 m³/h.</w:t>
      </w:r>
      <w:bookmarkEnd w:id="174"/>
    </w:p>
    <w:p w:rsidR="008D3288" w:rsidRDefault="004C240D" w:rsidP="004C240D">
      <w:pPr>
        <w:jc w:val="center"/>
      </w:pPr>
      <w:r w:rsidRPr="004C240D">
        <w:rPr>
          <w:noProof/>
          <w:lang w:eastAsia="pt-BR"/>
        </w:rPr>
        <w:drawing>
          <wp:inline distT="0" distB="0" distL="0" distR="0" wp14:anchorId="2486C042" wp14:editId="608A6BE8">
            <wp:extent cx="3663886" cy="3564000"/>
            <wp:effectExtent l="0" t="0" r="0" b="0"/>
            <wp:docPr id="3" name="Imagem 3" descr="C:\Users\Jhonnilo\Google Drive\PG UFES\Drag Reduction\Testes\Graficos\Export\fator pot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onnilo\Google Drive\PG UFES\Drag Reduction\Testes\Graficos\Export\fator potencia.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63886" cy="3564000"/>
                    </a:xfrm>
                    <a:prstGeom prst="rect">
                      <a:avLst/>
                    </a:prstGeom>
                    <a:noFill/>
                    <a:ln>
                      <a:noFill/>
                    </a:ln>
                  </pic:spPr>
                </pic:pic>
              </a:graphicData>
            </a:graphic>
          </wp:inline>
        </w:drawing>
      </w:r>
    </w:p>
    <w:p w:rsidR="004C240D" w:rsidRDefault="004C240D" w:rsidP="004C240D">
      <w:pPr>
        <w:jc w:val="center"/>
      </w:pPr>
      <w:r>
        <w:t>Fonte: Autoria própria</w:t>
      </w:r>
    </w:p>
    <w:p w:rsidR="00EC49FA" w:rsidRDefault="005341EF" w:rsidP="005341EF">
      <w:pPr>
        <w:pStyle w:val="Nvel1-PG"/>
        <w:numPr>
          <w:ilvl w:val="0"/>
          <w:numId w:val="7"/>
        </w:numPr>
        <w:tabs>
          <w:tab w:val="left" w:pos="284"/>
        </w:tabs>
        <w:ind w:left="0" w:firstLine="0"/>
      </w:pPr>
      <w:bookmarkStart w:id="175" w:name="_Toc488678381"/>
      <w:r>
        <w:lastRenderedPageBreak/>
        <w:t>A</w:t>
      </w:r>
      <w:r w:rsidR="0041731E">
        <w:t>NÁLISE DE VIABILIDADE ECONÔMICA</w:t>
      </w:r>
      <w:bookmarkEnd w:id="175"/>
    </w:p>
    <w:p w:rsidR="00466AF8" w:rsidRDefault="00836701" w:rsidP="00EB7920">
      <w:r w:rsidRPr="00836701">
        <w:t xml:space="preserve">Para </w:t>
      </w:r>
      <w:r w:rsidR="00EB7920">
        <w:t xml:space="preserve">se </w:t>
      </w:r>
      <w:r w:rsidRPr="00836701">
        <w:t xml:space="preserve">realizar a análise da viabilidade </w:t>
      </w:r>
      <w:r w:rsidR="003C723C">
        <w:t>econômica do</w:t>
      </w:r>
      <w:r>
        <w:t xml:space="preserve"> sistema que promove a redução de arraste</w:t>
      </w:r>
      <w:r w:rsidR="00EB7920">
        <w:t>,</w:t>
      </w:r>
      <w:r>
        <w:t xml:space="preserve"> serão aplicadas as</w:t>
      </w:r>
      <w:r w:rsidRPr="00836701">
        <w:t xml:space="preserve"> ferramentas </w:t>
      </w:r>
      <w:r w:rsidR="00466AF8">
        <w:t>mais usuais da</w:t>
      </w:r>
      <w:r>
        <w:t xml:space="preserve"> matemática financeira: </w:t>
      </w:r>
      <w:r w:rsidR="00ED6B04">
        <w:t xml:space="preserve">o </w:t>
      </w:r>
      <w:r w:rsidR="00ED6B04" w:rsidRPr="00836701">
        <w:rPr>
          <w:i/>
        </w:rPr>
        <w:t>payback</w:t>
      </w:r>
      <w:r w:rsidR="00466AF8">
        <w:t xml:space="preserve"> simples e descontado,</w:t>
      </w:r>
      <w:r w:rsidR="00ED6B04">
        <w:t xml:space="preserve"> </w:t>
      </w:r>
      <w:r>
        <w:t>o</w:t>
      </w:r>
      <w:r w:rsidRPr="00836701">
        <w:t xml:space="preserve"> VPL</w:t>
      </w:r>
      <w:r w:rsidR="00022C7E">
        <w:t xml:space="preserve"> e o </w:t>
      </w:r>
      <w:r w:rsidR="00ED6B04">
        <w:t>TIR</w:t>
      </w:r>
      <w:r w:rsidR="00EB7920">
        <w:t>. A análise será dividida em dois casos</w:t>
      </w:r>
      <w:r w:rsidR="007C0A7C">
        <w:t>.</w:t>
      </w:r>
    </w:p>
    <w:p w:rsidR="00466AF8" w:rsidRDefault="00EB7920" w:rsidP="007C0A7C">
      <w:r>
        <w:t xml:space="preserve">O primeiro caso </w:t>
      </w:r>
      <w:r w:rsidR="007C0A7C">
        <w:t>consiste e uma consideração simples</w:t>
      </w:r>
      <w:r>
        <w:t xml:space="preserve">, </w:t>
      </w:r>
      <w:r w:rsidRPr="00EB7920">
        <w:t>similar ao adotado por [21]</w:t>
      </w:r>
      <w:r>
        <w:t xml:space="preserve"> em sua análise</w:t>
      </w:r>
      <w:r w:rsidRPr="00EB7920">
        <w:t>,</w:t>
      </w:r>
      <w:r>
        <w:t xml:space="preserve"> onde </w:t>
      </w:r>
      <w:r w:rsidR="007C0A7C">
        <w:t>entende</w:t>
      </w:r>
      <w:r>
        <w:t>-se que o</w:t>
      </w:r>
      <w:r w:rsidRPr="00EB7920">
        <w:t xml:space="preserve"> cliente já possui tod</w:t>
      </w:r>
      <w:r w:rsidR="007C0A7C">
        <w:t xml:space="preserve">a a estrutura e equipamentos </w:t>
      </w:r>
      <w:r w:rsidRPr="00EB7920">
        <w:t xml:space="preserve">necessários para a </w:t>
      </w:r>
      <w:r w:rsidR="007C0A7C">
        <w:t>utilização do aditivo na planta</w:t>
      </w:r>
      <w:r w:rsidRPr="00EB7920">
        <w:t xml:space="preserve">. </w:t>
      </w:r>
      <w:r>
        <w:t>Desta forma</w:t>
      </w:r>
      <w:r w:rsidRPr="00EB7920">
        <w:t>, apenas os custos variáveis</w:t>
      </w:r>
      <w:r>
        <w:t xml:space="preserve"> inerentes ao custo do polímero</w:t>
      </w:r>
      <w:r w:rsidRPr="00EB7920">
        <w:t xml:space="preserve"> </w:t>
      </w:r>
      <w:r w:rsidR="007C0A7C">
        <w:t xml:space="preserve">(matéria prima e transporte) </w:t>
      </w:r>
      <w:r w:rsidRPr="00EB7920">
        <w:t xml:space="preserve">serão contabilizados e descontados da </w:t>
      </w:r>
      <w:r>
        <w:t xml:space="preserve">receita obtida pela </w:t>
      </w:r>
      <w:r w:rsidRPr="00EB7920">
        <w:t>economia de energia proporci</w:t>
      </w:r>
      <w:r>
        <w:t>onada pelo aditivo, obtendo um resultado único em um ou mais períodos. Basicamente se o valor encontrado for positivo, considera-se que o projeto é viável. Esta análise não contempla a aplicação das ferramentas de análise de investimento</w:t>
      </w:r>
      <w:r w:rsidRPr="00EB7920">
        <w:t>.</w:t>
      </w:r>
    </w:p>
    <w:p w:rsidR="007C0A7C" w:rsidRDefault="007C0A7C" w:rsidP="007C0A7C">
      <w:r>
        <w:t>Para o segundo caso, mais realista, consideram-se</w:t>
      </w:r>
      <w:r w:rsidRPr="007C0A7C">
        <w:t xml:space="preserve"> os custos de aquisição de </w:t>
      </w:r>
      <w:r>
        <w:t>equipamentos e estrutura, operação e manutenção, além dos custos variáveis referentes ao polímero, considerados no caso simples.</w:t>
      </w:r>
      <w:r w:rsidR="00C55C0D">
        <w:t xml:space="preserve"> </w:t>
      </w:r>
      <w:r>
        <w:t xml:space="preserve">Para uma estimativa </w:t>
      </w:r>
      <w:r w:rsidR="00C55C0D">
        <w:t xml:space="preserve">das tarifas, preços e taxas </w:t>
      </w:r>
      <w:r>
        <w:t>com maior fidelidade</w:t>
      </w:r>
      <w:r w:rsidR="00C55C0D">
        <w:t xml:space="preserve"> no horizonte temporal de análise, são coletados os valores atuais referentes à taxa básica de juros, inflação e câmbio. Este é o </w:t>
      </w:r>
      <w:r w:rsidR="00C55C0D" w:rsidRPr="007C0A7C">
        <w:t xml:space="preserve">cenário </w:t>
      </w:r>
      <w:r w:rsidR="00C55C0D">
        <w:t xml:space="preserve">padrão de nossa análise. A partir deste, uma análise de sensibilidade é realizada, visando a verificação da viabilidade econômica deste projeto em cenários mais brandos e em cenários mais conservadores. Para este caso é </w:t>
      </w:r>
      <w:r w:rsidR="00C55C0D" w:rsidRPr="007C0A7C">
        <w:t>necessária a aplicação das ferramentas de anál</w:t>
      </w:r>
      <w:r w:rsidR="00C55C0D">
        <w:t>ise previstas na seção 2.11.</w:t>
      </w:r>
    </w:p>
    <w:p w:rsidR="004D652E" w:rsidRDefault="004D652E" w:rsidP="007C0A7C">
      <w:r>
        <w:t>Em ambos os casos são desconsiderados os custos com mão-de-obra, pois acredita-se que a empresa já possui colaboradores, que poderão ser disponibilizados para serem treinados e estarem qualificados para operação e manutenção da planta.</w:t>
      </w:r>
    </w:p>
    <w:p w:rsidR="007C0A7C" w:rsidRDefault="007C0A7C" w:rsidP="007C0A7C"/>
    <w:p w:rsidR="0028166C" w:rsidRDefault="0028166C" w:rsidP="0028166C">
      <w:pPr>
        <w:pStyle w:val="Nvel2-PG"/>
      </w:pPr>
      <w:bookmarkStart w:id="176" w:name="_Toc488678382"/>
      <w:r>
        <w:t>5.</w:t>
      </w:r>
      <w:r w:rsidR="00BA081B">
        <w:t>1</w:t>
      </w:r>
      <w:r>
        <w:t xml:space="preserve"> Estimativa de </w:t>
      </w:r>
      <w:r w:rsidR="00BA081B">
        <w:t>receita</w:t>
      </w:r>
      <w:bookmarkEnd w:id="176"/>
    </w:p>
    <w:p w:rsidR="008F33B9" w:rsidRDefault="00154566" w:rsidP="00686A51">
      <w:r>
        <w:t>A</w:t>
      </w:r>
      <w:r w:rsidR="00466AF8">
        <w:t xml:space="preserve"> </w:t>
      </w:r>
      <w:r>
        <w:t>estimativa</w:t>
      </w:r>
      <w:r w:rsidR="00686A51">
        <w:t xml:space="preserve"> </w:t>
      </w:r>
      <w:r w:rsidR="00466AF8">
        <w:t xml:space="preserve">de receita </w:t>
      </w:r>
      <w:r w:rsidR="00686A51">
        <w:t>ser</w:t>
      </w:r>
      <w:r w:rsidR="004D652E">
        <w:t>á</w:t>
      </w:r>
      <w:r>
        <w:t xml:space="preserve"> baseada </w:t>
      </w:r>
      <w:r w:rsidR="00DA2223">
        <w:t>n</w:t>
      </w:r>
      <w:r>
        <w:t>o</w:t>
      </w:r>
      <w:r w:rsidR="008F33B9">
        <w:t>s</w:t>
      </w:r>
      <w:r>
        <w:t xml:space="preserve"> parâmetro</w:t>
      </w:r>
      <w:r w:rsidR="008F33B9">
        <w:t>s da planta estudada</w:t>
      </w:r>
      <w:r w:rsidR="00DA2223">
        <w:t>, considerando o</w:t>
      </w:r>
      <w:r w:rsidR="00686A51">
        <w:t>s resultados para o</w:t>
      </w:r>
      <w:r w:rsidR="00DA2223">
        <w:t xml:space="preserve"> escoamento </w:t>
      </w:r>
      <w:r w:rsidR="00686A51">
        <w:t xml:space="preserve">de maior vazão, pois </w:t>
      </w:r>
      <w:r w:rsidR="00DA2223">
        <w:t>operações industriais tendem a utilizar a maior vazão disponível para a otimização/maximização</w:t>
      </w:r>
      <w:r w:rsidR="004D652E">
        <w:t xml:space="preserve"> da</w:t>
      </w:r>
      <w:r w:rsidR="00686A51">
        <w:t xml:space="preserve"> operação</w:t>
      </w:r>
      <w:r w:rsidR="008F33B9">
        <w:t>. Os cálculos propostos por [21] não contempla</w:t>
      </w:r>
      <w:r w:rsidR="00686A51">
        <w:t>m</w:t>
      </w:r>
      <w:r w:rsidR="008F33B9">
        <w:t xml:space="preserve"> a variação do efeito </w:t>
      </w:r>
      <w:r w:rsidR="00466AF8">
        <w:t>de redução</w:t>
      </w:r>
      <w:r w:rsidR="008F33B9">
        <w:t xml:space="preserve"> de arraste ao longo </w:t>
      </w:r>
      <w:r w:rsidR="001E77F9">
        <w:t xml:space="preserve">do </w:t>
      </w:r>
      <w:r w:rsidR="008F33B9">
        <w:t xml:space="preserve">tempo por desconsiderar a degradação mecânica, hipótese esta que não é possível </w:t>
      </w:r>
      <w:r w:rsidR="00686A51">
        <w:t xml:space="preserve">adotar neste trabalho, visto </w:t>
      </w:r>
      <w:r w:rsidR="000133DE">
        <w:t>que existe uma</w:t>
      </w:r>
      <w:r w:rsidR="00686A51">
        <w:t xml:space="preserve"> </w:t>
      </w:r>
      <w:r w:rsidR="000133DE">
        <w:lastRenderedPageBreak/>
        <w:t>diminuição</w:t>
      </w:r>
      <w:r w:rsidR="00466AF8">
        <w:t xml:space="preserve"> significativa</w:t>
      </w:r>
      <w:r w:rsidR="000133DE">
        <w:t xml:space="preserve"> do potencial </w:t>
      </w:r>
      <w:r w:rsidR="00686A51">
        <w:t xml:space="preserve">de redução de arraste </w:t>
      </w:r>
      <w:r w:rsidR="000133DE">
        <w:t>n</w:t>
      </w:r>
      <w:r w:rsidR="00686A51">
        <w:t>a solução ao final do</w:t>
      </w:r>
      <w:r w:rsidR="00466AF8">
        <w:t>s</w:t>
      </w:r>
      <w:r w:rsidR="00686A51">
        <w:t xml:space="preserve"> teste</w:t>
      </w:r>
      <w:r w:rsidR="00466AF8">
        <w:t>s</w:t>
      </w:r>
      <w:r w:rsidR="008F33B9">
        <w:t xml:space="preserve">. </w:t>
      </w:r>
      <w:r w:rsidR="000133DE">
        <w:t>De posse d</w:t>
      </w:r>
      <w:r w:rsidR="008F33B9">
        <w:t>os dados de economia de energia para o tempo de teste estipulado, é possível estimar o tempo</w:t>
      </w:r>
      <w:r w:rsidR="00466AF8">
        <w:t xml:space="preserve"> total de ação d</w:t>
      </w:r>
      <w:r w:rsidR="008F33B9">
        <w:t xml:space="preserve">o polímero na planta </w:t>
      </w:r>
      <w:r w:rsidR="00686A51">
        <w:t xml:space="preserve">fazendo uma projeção </w:t>
      </w:r>
      <w:r w:rsidR="00466AF8">
        <w:t xml:space="preserve">na curva de economia de energia </w:t>
      </w:r>
      <w:r w:rsidR="00686A51">
        <w:t xml:space="preserve">por meio de </w:t>
      </w:r>
      <w:r w:rsidR="008F33B9">
        <w:t xml:space="preserve">uma </w:t>
      </w:r>
      <w:r w:rsidR="00DA2223">
        <w:t xml:space="preserve">linha de </w:t>
      </w:r>
      <w:r w:rsidR="008F33B9">
        <w:t>tendência</w:t>
      </w:r>
      <w:r w:rsidR="00DA2223">
        <w:t xml:space="preserve"> polinomial (</w:t>
      </w:r>
      <w:r w:rsidR="00DB227D">
        <w:t>Figura 41</w:t>
      </w:r>
      <w:r w:rsidR="00DA2223">
        <w:t>)</w:t>
      </w:r>
      <w:r w:rsidR="008F33B9">
        <w:t>.</w:t>
      </w:r>
      <w:r w:rsidR="000133DE">
        <w:t xml:space="preserve"> Vale ressaltar que esta é uma tendência conservadora, pois diversos autores observaram que polímeros rígidos não </w:t>
      </w:r>
      <w:r w:rsidR="009F56AF">
        <w:t>chegam a ser</w:t>
      </w:r>
      <w:r w:rsidR="000133DE">
        <w:t xml:space="preserve"> </w:t>
      </w:r>
      <w:r w:rsidR="009F56AF">
        <w:t>degradados</w:t>
      </w:r>
      <w:r w:rsidR="000133DE">
        <w:t>. [31, 35].</w:t>
      </w:r>
    </w:p>
    <w:p w:rsidR="009F56AF" w:rsidRDefault="009F56AF" w:rsidP="00686A51"/>
    <w:p w:rsidR="00DA2223" w:rsidRDefault="00DA2223" w:rsidP="009F56AF">
      <w:pPr>
        <w:pStyle w:val="Figura-PG"/>
      </w:pPr>
      <w:bookmarkStart w:id="177" w:name="_Ref488189772"/>
      <w:bookmarkStart w:id="178" w:name="_Toc488706080"/>
      <w:r>
        <w:t xml:space="preserve">Figura </w:t>
      </w:r>
      <w:fldSimple w:instr=" SEQ Figura \* ARABIC ">
        <w:r w:rsidR="00DB227D">
          <w:rPr>
            <w:noProof/>
          </w:rPr>
          <w:t>41</w:t>
        </w:r>
      </w:fldSimple>
      <w:bookmarkEnd w:id="177"/>
      <w:r w:rsidR="00DB227D">
        <w:t xml:space="preserve"> - </w:t>
      </w:r>
      <w:r>
        <w:t>Tendência de economia de energia para a solução de Goma Guar 200 ppm a 4m³/h.</w:t>
      </w:r>
      <w:bookmarkEnd w:id="178"/>
    </w:p>
    <w:p w:rsidR="00154566" w:rsidRDefault="006E57FF" w:rsidP="002801C7">
      <w:pPr>
        <w:jc w:val="center"/>
      </w:pPr>
      <w:r w:rsidRPr="006E57FF">
        <w:rPr>
          <w:noProof/>
          <w:lang w:eastAsia="pt-BR"/>
        </w:rPr>
        <w:drawing>
          <wp:inline distT="0" distB="0" distL="0" distR="0" wp14:anchorId="222DB462" wp14:editId="59572677">
            <wp:extent cx="4854611" cy="3240538"/>
            <wp:effectExtent l="0" t="0" r="317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0"/>
                    <pic:cNvPicPr>
                      <a:picLocks noChangeAspect="1"/>
                    </pic:cNvPicPr>
                  </pic:nvPicPr>
                  <pic:blipFill rotWithShape="1">
                    <a:blip r:embed="rId46"/>
                    <a:srcRect l="786" t="713" r="1623" b="674"/>
                    <a:stretch/>
                  </pic:blipFill>
                  <pic:spPr bwMode="auto">
                    <a:xfrm>
                      <a:off x="0" y="0"/>
                      <a:ext cx="4864154" cy="3246908"/>
                    </a:xfrm>
                    <a:prstGeom prst="rect">
                      <a:avLst/>
                    </a:prstGeom>
                    <a:ln>
                      <a:noFill/>
                    </a:ln>
                    <a:extLst>
                      <a:ext uri="{53640926-AAD7-44D8-BBD7-CCE9431645EC}">
                        <a14:shadowObscured xmlns:a14="http://schemas.microsoft.com/office/drawing/2010/main"/>
                      </a:ext>
                    </a:extLst>
                  </pic:spPr>
                </pic:pic>
              </a:graphicData>
            </a:graphic>
          </wp:inline>
        </w:drawing>
      </w:r>
    </w:p>
    <w:p w:rsidR="001153BC" w:rsidRDefault="00041EB4" w:rsidP="002801C7">
      <w:pPr>
        <w:jc w:val="center"/>
      </w:pPr>
      <w:r>
        <w:t>Fonte: Autoria própria</w:t>
      </w:r>
    </w:p>
    <w:p w:rsidR="00A3054E" w:rsidRDefault="00A3054E" w:rsidP="002801C7">
      <w:r>
        <w:t xml:space="preserve">Apesar da rigidez do aditivo, a tendência apresentada na </w:t>
      </w:r>
      <w:r w:rsidRPr="00A3054E">
        <w:fldChar w:fldCharType="begin"/>
      </w:r>
      <w:r w:rsidRPr="00A3054E">
        <w:instrText xml:space="preserve"> REF _Ref488189772 \h  \* MERGEFORMAT </w:instrText>
      </w:r>
      <w:r w:rsidRPr="00A3054E">
        <w:fldChar w:fldCharType="separate"/>
      </w:r>
      <w:r w:rsidR="009F56AF">
        <w:t xml:space="preserve">Figura </w:t>
      </w:r>
      <w:r w:rsidR="009F56AF">
        <w:rPr>
          <w:noProof/>
        </w:rPr>
        <w:t>42</w:t>
      </w:r>
      <w:r w:rsidRPr="00A3054E">
        <w:fldChar w:fldCharType="end"/>
      </w:r>
      <w:r>
        <w:t xml:space="preserve"> indica </w:t>
      </w:r>
      <w:r w:rsidR="00686A51">
        <w:t xml:space="preserve">que </w:t>
      </w:r>
      <w:r>
        <w:t xml:space="preserve">haverá uma degradação completa do polímero </w:t>
      </w:r>
      <w:r w:rsidR="009863A2">
        <w:t>após</w:t>
      </w:r>
      <w:r>
        <w:t xml:space="preserve"> </w:t>
      </w:r>
      <w:r w:rsidR="009863A2">
        <w:t xml:space="preserve">cerca de </w:t>
      </w:r>
      <w:r>
        <w:t>36 horas</w:t>
      </w:r>
      <w:r w:rsidR="009863A2">
        <w:t xml:space="preserve"> e 45 minutos</w:t>
      </w:r>
      <w:r>
        <w:t>, conferindo uma economia de energia de 17,</w:t>
      </w:r>
      <w:r w:rsidR="00686A51">
        <w:t>61 kWh neste período.</w:t>
      </w:r>
      <w:r w:rsidR="00557AB3">
        <w:t xml:space="preserve"> S</w:t>
      </w:r>
      <w:r w:rsidR="009863A2">
        <w:t xml:space="preserve">ubestimando o valor </w:t>
      </w:r>
      <w:r w:rsidR="000133DE">
        <w:t xml:space="preserve">de tempo </w:t>
      </w:r>
      <w:r w:rsidR="001E77F9">
        <w:t xml:space="preserve">encontrado </w:t>
      </w:r>
      <w:r w:rsidR="009863A2">
        <w:t>pela tendência traçada, a escolha d</w:t>
      </w:r>
      <w:r w:rsidR="00557AB3">
        <w:t>o</w:t>
      </w:r>
      <w:r w:rsidR="009863A2">
        <w:t xml:space="preserve"> tempo para injeção de uma nova quantidade de aditivo </w:t>
      </w:r>
      <w:r w:rsidR="000133DE">
        <w:t>será</w:t>
      </w:r>
      <w:r w:rsidR="009863A2">
        <w:t xml:space="preserve"> de 36 horas.</w:t>
      </w:r>
    </w:p>
    <w:p w:rsidR="001153BC" w:rsidRDefault="00C100C0" w:rsidP="002801C7">
      <w:r>
        <w:t>Para a estimativa de receita</w:t>
      </w:r>
      <w:r w:rsidR="009E5959">
        <w:t xml:space="preserve"> com a economia de energia</w:t>
      </w:r>
      <w:r w:rsidR="008D2C5E">
        <w:t>, o presente</w:t>
      </w:r>
      <w:r>
        <w:t xml:space="preserve"> estudo de caso é realizado para </w:t>
      </w:r>
      <w:r w:rsidR="008D2C5E">
        <w:t xml:space="preserve">a categoria de </w:t>
      </w:r>
      <w:r>
        <w:t>grandes clientes da EDP</w:t>
      </w:r>
      <w:r w:rsidR="008D2C5E">
        <w:t xml:space="preserve"> Escelsa. Foi escolhido o</w:t>
      </w:r>
      <w:r w:rsidR="00522172">
        <w:t xml:space="preserve"> consumidor do subgrupo A, Classe</w:t>
      </w:r>
      <w:r>
        <w:t xml:space="preserve"> A4 na modalidade tarifária </w:t>
      </w:r>
      <w:r w:rsidR="008D2C5E">
        <w:t>V</w:t>
      </w:r>
      <w:r>
        <w:t>erde, cujo os preços do kWh variam</w:t>
      </w:r>
      <w:r w:rsidR="008D2C5E">
        <w:t xml:space="preserve"> de acordo com </w:t>
      </w:r>
      <w:r>
        <w:t>a bandeira tarifária</w:t>
      </w:r>
      <w:r w:rsidR="008D2C5E">
        <w:t xml:space="preserve"> vigente no mês</w:t>
      </w:r>
      <w:r>
        <w:t>.</w:t>
      </w:r>
      <w:r w:rsidR="008D2C5E">
        <w:t xml:space="preserve"> </w:t>
      </w:r>
      <w:r w:rsidR="007E67C1">
        <w:t xml:space="preserve">A </w:t>
      </w:r>
      <w:r w:rsidR="007E67C1" w:rsidRPr="002801C7">
        <w:fldChar w:fldCharType="begin"/>
      </w:r>
      <w:r w:rsidR="007E67C1" w:rsidRPr="002801C7">
        <w:instrText xml:space="preserve"> REF _Ref488276447 \h  \* MERGEFORMAT </w:instrText>
      </w:r>
      <w:r w:rsidR="007E67C1" w:rsidRPr="002801C7">
        <w:fldChar w:fldCharType="separate"/>
      </w:r>
      <w:r w:rsidR="00C91A0F">
        <w:t xml:space="preserve">Tabela </w:t>
      </w:r>
      <w:r w:rsidR="00C91A0F">
        <w:rPr>
          <w:noProof/>
        </w:rPr>
        <w:t>7</w:t>
      </w:r>
      <w:r w:rsidR="00C91A0F">
        <w:t>: Definição do preço médio de kWh</w:t>
      </w:r>
      <w:r w:rsidR="00C91A0F">
        <w:rPr>
          <w:noProof/>
        </w:rPr>
        <w:t xml:space="preserve"> no cenário atual.</w:t>
      </w:r>
      <w:r w:rsidR="007E67C1" w:rsidRPr="002801C7">
        <w:fldChar w:fldCharType="end"/>
      </w:r>
      <w:r w:rsidR="007E67C1">
        <w:t xml:space="preserve"> mostra os cálculos realizados p</w:t>
      </w:r>
      <w:r w:rsidR="008D2C5E">
        <w:t>a</w:t>
      </w:r>
      <w:r w:rsidR="007E67C1">
        <w:t>ra a obtenção de um preço médio. F</w:t>
      </w:r>
      <w:r w:rsidR="008D2C5E">
        <w:t xml:space="preserve">oi feita a </w:t>
      </w:r>
      <w:r w:rsidR="007E67C1">
        <w:t xml:space="preserve">ponderação do valor </w:t>
      </w:r>
      <w:r w:rsidR="008D2C5E">
        <w:t xml:space="preserve">das bandeiras </w:t>
      </w:r>
      <w:r w:rsidR="007E67C1">
        <w:t xml:space="preserve">pela quantidade de cada bandeira cada </w:t>
      </w:r>
      <w:r w:rsidR="002801C7">
        <w:t>ao longo de um ano</w:t>
      </w:r>
      <w:r w:rsidR="002801C7" w:rsidRPr="002801C7">
        <w:t>.</w:t>
      </w:r>
    </w:p>
    <w:p w:rsidR="002801C7" w:rsidRDefault="002801C7" w:rsidP="00C91A0F">
      <w:pPr>
        <w:pStyle w:val="Tabela-PG"/>
      </w:pPr>
      <w:bookmarkStart w:id="179" w:name="_Ref488276447"/>
      <w:bookmarkStart w:id="180" w:name="_Toc488706088"/>
      <w:r>
        <w:lastRenderedPageBreak/>
        <w:t xml:space="preserve">Tabela </w:t>
      </w:r>
      <w:fldSimple w:instr=" SEQ Tabela \* ARABIC ">
        <w:r w:rsidR="00C91A0F">
          <w:rPr>
            <w:noProof/>
          </w:rPr>
          <w:t>7</w:t>
        </w:r>
      </w:fldSimple>
      <w:r w:rsidR="00DB227D">
        <w:t xml:space="preserve"> - </w:t>
      </w:r>
      <w:r>
        <w:t xml:space="preserve">Definição do preço </w:t>
      </w:r>
      <w:r w:rsidR="00522172">
        <w:t>médio de</w:t>
      </w:r>
      <w:r>
        <w:t xml:space="preserve"> kWh</w:t>
      </w:r>
      <w:r>
        <w:rPr>
          <w:noProof/>
        </w:rPr>
        <w:t xml:space="preserve"> no cenário atual.</w:t>
      </w:r>
      <w:bookmarkEnd w:id="179"/>
      <w:bookmarkEnd w:id="180"/>
    </w:p>
    <w:tbl>
      <w:tblPr>
        <w:tblW w:w="9071" w:type="dxa"/>
        <w:tblLayout w:type="fixed"/>
        <w:tblCellMar>
          <w:left w:w="70" w:type="dxa"/>
          <w:right w:w="70" w:type="dxa"/>
        </w:tblCellMar>
        <w:tblLook w:val="04A0" w:firstRow="1" w:lastRow="0" w:firstColumn="1" w:lastColumn="0" w:noHBand="0" w:noVBand="1"/>
      </w:tblPr>
      <w:tblGrid>
        <w:gridCol w:w="4373"/>
        <w:gridCol w:w="1566"/>
        <w:gridCol w:w="1566"/>
        <w:gridCol w:w="1566"/>
      </w:tblGrid>
      <w:tr w:rsidR="002801C7" w:rsidRPr="002801C7" w:rsidTr="00B57856">
        <w:trPr>
          <w:trHeight w:val="341"/>
        </w:trPr>
        <w:tc>
          <w:tcPr>
            <w:tcW w:w="4373" w:type="dxa"/>
            <w:vMerge w:val="restart"/>
            <w:tcBorders>
              <w:top w:val="single" w:sz="4" w:space="0" w:color="auto"/>
              <w:left w:val="nil"/>
              <w:bottom w:val="nil"/>
              <w:right w:val="nil"/>
            </w:tcBorders>
            <w:shd w:val="clear" w:color="auto" w:fill="auto"/>
            <w:noWrap/>
            <w:vAlign w:val="center"/>
            <w:hideMark/>
          </w:tcPr>
          <w:p w:rsidR="002801C7" w:rsidRPr="002801C7" w:rsidRDefault="002801C7" w:rsidP="002801C7">
            <w:pPr>
              <w:spacing w:after="0" w:line="240" w:lineRule="auto"/>
              <w:contextualSpacing w:val="0"/>
              <w:jc w:val="center"/>
              <w:rPr>
                <w:rFonts w:eastAsia="Times New Roman" w:cs="Arial"/>
                <w:b/>
                <w:i/>
                <w:iCs/>
                <w:color w:val="000000"/>
                <w:szCs w:val="24"/>
                <w:lang w:eastAsia="pt-BR"/>
              </w:rPr>
            </w:pPr>
            <w:r w:rsidRPr="002801C7">
              <w:rPr>
                <w:rFonts w:eastAsia="Times New Roman" w:cs="Arial"/>
                <w:b/>
                <w:i/>
                <w:iCs/>
                <w:color w:val="000000"/>
                <w:szCs w:val="24"/>
                <w:lang w:eastAsia="pt-BR"/>
              </w:rPr>
              <w:t>Classe A4 - (2,3 e 25 kV)</w:t>
            </w:r>
          </w:p>
        </w:tc>
        <w:tc>
          <w:tcPr>
            <w:tcW w:w="4698" w:type="dxa"/>
            <w:gridSpan w:val="3"/>
            <w:tcBorders>
              <w:top w:val="single" w:sz="4" w:space="0" w:color="auto"/>
              <w:left w:val="nil"/>
              <w:bottom w:val="single" w:sz="4" w:space="0" w:color="auto"/>
              <w:right w:val="nil"/>
            </w:tcBorders>
            <w:shd w:val="clear" w:color="auto" w:fill="auto"/>
            <w:noWrap/>
            <w:vAlign w:val="center"/>
            <w:hideMark/>
          </w:tcPr>
          <w:p w:rsidR="002801C7" w:rsidRPr="002801C7" w:rsidRDefault="002801C7" w:rsidP="002801C7">
            <w:pPr>
              <w:spacing w:after="0" w:line="240" w:lineRule="auto"/>
              <w:contextualSpacing w:val="0"/>
              <w:jc w:val="center"/>
              <w:rPr>
                <w:rFonts w:eastAsia="Times New Roman" w:cs="Arial"/>
                <w:b/>
                <w:i/>
                <w:iCs/>
                <w:color w:val="000000"/>
                <w:szCs w:val="24"/>
                <w:lang w:eastAsia="pt-BR"/>
              </w:rPr>
            </w:pPr>
            <w:r w:rsidRPr="002801C7">
              <w:rPr>
                <w:rFonts w:eastAsia="Times New Roman" w:cs="Arial"/>
                <w:b/>
                <w:i/>
                <w:iCs/>
                <w:color w:val="000000"/>
                <w:szCs w:val="24"/>
                <w:lang w:eastAsia="pt-BR"/>
              </w:rPr>
              <w:t>Bandeiras</w:t>
            </w:r>
          </w:p>
        </w:tc>
      </w:tr>
      <w:tr w:rsidR="002801C7" w:rsidRPr="002801C7" w:rsidTr="00B57856">
        <w:trPr>
          <w:trHeight w:val="341"/>
        </w:trPr>
        <w:tc>
          <w:tcPr>
            <w:tcW w:w="4373" w:type="dxa"/>
            <w:vMerge/>
            <w:tcBorders>
              <w:top w:val="nil"/>
              <w:left w:val="nil"/>
              <w:bottom w:val="single" w:sz="4" w:space="0" w:color="auto"/>
              <w:right w:val="nil"/>
            </w:tcBorders>
            <w:vAlign w:val="center"/>
            <w:hideMark/>
          </w:tcPr>
          <w:p w:rsidR="002801C7" w:rsidRPr="002801C7" w:rsidRDefault="002801C7" w:rsidP="002801C7">
            <w:pPr>
              <w:spacing w:after="0" w:line="240" w:lineRule="auto"/>
              <w:contextualSpacing w:val="0"/>
              <w:jc w:val="center"/>
              <w:rPr>
                <w:rFonts w:eastAsia="Times New Roman" w:cs="Arial"/>
                <w:b/>
                <w:i/>
                <w:iCs/>
                <w:color w:val="000000"/>
                <w:szCs w:val="24"/>
                <w:lang w:eastAsia="pt-BR"/>
              </w:rPr>
            </w:pPr>
          </w:p>
        </w:tc>
        <w:tc>
          <w:tcPr>
            <w:tcW w:w="1566" w:type="dxa"/>
            <w:tcBorders>
              <w:top w:val="single" w:sz="4" w:space="0" w:color="auto"/>
              <w:left w:val="nil"/>
              <w:bottom w:val="single" w:sz="4" w:space="0" w:color="auto"/>
              <w:right w:val="nil"/>
            </w:tcBorders>
            <w:shd w:val="clear" w:color="auto" w:fill="auto"/>
            <w:noWrap/>
            <w:vAlign w:val="center"/>
            <w:hideMark/>
          </w:tcPr>
          <w:p w:rsidR="002801C7" w:rsidRPr="002801C7" w:rsidRDefault="002801C7" w:rsidP="002801C7">
            <w:pPr>
              <w:spacing w:after="0" w:line="240" w:lineRule="auto"/>
              <w:contextualSpacing w:val="0"/>
              <w:jc w:val="center"/>
              <w:rPr>
                <w:rFonts w:eastAsia="Times New Roman" w:cs="Arial"/>
                <w:b/>
                <w:i/>
                <w:iCs/>
                <w:color w:val="000000"/>
                <w:szCs w:val="24"/>
                <w:lang w:eastAsia="pt-BR"/>
              </w:rPr>
            </w:pPr>
            <w:r w:rsidRPr="002801C7">
              <w:rPr>
                <w:rFonts w:eastAsia="Times New Roman" w:cs="Arial"/>
                <w:b/>
                <w:i/>
                <w:iCs/>
                <w:color w:val="000000"/>
                <w:szCs w:val="24"/>
                <w:lang w:eastAsia="pt-BR"/>
              </w:rPr>
              <w:t>Verde</w:t>
            </w:r>
          </w:p>
        </w:tc>
        <w:tc>
          <w:tcPr>
            <w:tcW w:w="1566" w:type="dxa"/>
            <w:tcBorders>
              <w:top w:val="single" w:sz="4" w:space="0" w:color="auto"/>
              <w:left w:val="nil"/>
              <w:bottom w:val="single" w:sz="4" w:space="0" w:color="auto"/>
              <w:right w:val="nil"/>
            </w:tcBorders>
            <w:shd w:val="clear" w:color="auto" w:fill="auto"/>
            <w:noWrap/>
            <w:vAlign w:val="center"/>
            <w:hideMark/>
          </w:tcPr>
          <w:p w:rsidR="002801C7" w:rsidRPr="002801C7" w:rsidRDefault="002801C7" w:rsidP="002801C7">
            <w:pPr>
              <w:spacing w:after="0" w:line="240" w:lineRule="auto"/>
              <w:contextualSpacing w:val="0"/>
              <w:jc w:val="center"/>
              <w:rPr>
                <w:rFonts w:eastAsia="Times New Roman" w:cs="Arial"/>
                <w:b/>
                <w:i/>
                <w:iCs/>
                <w:color w:val="000000"/>
                <w:szCs w:val="24"/>
                <w:lang w:eastAsia="pt-BR"/>
              </w:rPr>
            </w:pPr>
            <w:r w:rsidRPr="002801C7">
              <w:rPr>
                <w:rFonts w:eastAsia="Times New Roman" w:cs="Arial"/>
                <w:b/>
                <w:i/>
                <w:iCs/>
                <w:color w:val="000000"/>
                <w:szCs w:val="24"/>
                <w:lang w:eastAsia="pt-BR"/>
              </w:rPr>
              <w:t>Amarela</w:t>
            </w:r>
          </w:p>
        </w:tc>
        <w:tc>
          <w:tcPr>
            <w:tcW w:w="1566" w:type="dxa"/>
            <w:tcBorders>
              <w:top w:val="single" w:sz="4" w:space="0" w:color="auto"/>
              <w:left w:val="nil"/>
              <w:bottom w:val="single" w:sz="4" w:space="0" w:color="auto"/>
              <w:right w:val="nil"/>
            </w:tcBorders>
            <w:shd w:val="clear" w:color="auto" w:fill="auto"/>
            <w:noWrap/>
            <w:vAlign w:val="center"/>
            <w:hideMark/>
          </w:tcPr>
          <w:p w:rsidR="002801C7" w:rsidRPr="002801C7" w:rsidRDefault="002801C7" w:rsidP="002801C7">
            <w:pPr>
              <w:spacing w:after="0" w:line="240" w:lineRule="auto"/>
              <w:contextualSpacing w:val="0"/>
              <w:jc w:val="center"/>
              <w:rPr>
                <w:rFonts w:eastAsia="Times New Roman" w:cs="Arial"/>
                <w:b/>
                <w:i/>
                <w:iCs/>
                <w:color w:val="000000"/>
                <w:szCs w:val="24"/>
                <w:lang w:eastAsia="pt-BR"/>
              </w:rPr>
            </w:pPr>
            <w:r w:rsidRPr="002801C7">
              <w:rPr>
                <w:rFonts w:eastAsia="Times New Roman" w:cs="Arial"/>
                <w:b/>
                <w:i/>
                <w:iCs/>
                <w:color w:val="000000"/>
                <w:szCs w:val="24"/>
                <w:lang w:eastAsia="pt-BR"/>
              </w:rPr>
              <w:t>Vermelha</w:t>
            </w:r>
          </w:p>
        </w:tc>
      </w:tr>
      <w:tr w:rsidR="002801C7" w:rsidRPr="002801C7" w:rsidTr="00B57856">
        <w:trPr>
          <w:trHeight w:val="341"/>
        </w:trPr>
        <w:tc>
          <w:tcPr>
            <w:tcW w:w="4373" w:type="dxa"/>
            <w:tcBorders>
              <w:top w:val="single" w:sz="4" w:space="0" w:color="auto"/>
              <w:left w:val="nil"/>
              <w:bottom w:val="single" w:sz="4" w:space="0" w:color="auto"/>
              <w:right w:val="nil"/>
            </w:tcBorders>
            <w:shd w:val="clear" w:color="auto" w:fill="auto"/>
            <w:noWrap/>
            <w:vAlign w:val="center"/>
            <w:hideMark/>
          </w:tcPr>
          <w:p w:rsidR="002801C7" w:rsidRPr="002801C7" w:rsidRDefault="002801C7" w:rsidP="002801C7">
            <w:pPr>
              <w:spacing w:after="0" w:line="240" w:lineRule="auto"/>
              <w:contextualSpacing w:val="0"/>
              <w:jc w:val="center"/>
              <w:rPr>
                <w:rFonts w:eastAsia="Times New Roman" w:cs="Arial"/>
                <w:color w:val="000000"/>
                <w:szCs w:val="24"/>
                <w:lang w:eastAsia="pt-BR"/>
              </w:rPr>
            </w:pPr>
            <w:r w:rsidRPr="002801C7">
              <w:rPr>
                <w:rFonts w:eastAsia="Times New Roman" w:cs="Arial"/>
                <w:color w:val="000000"/>
                <w:szCs w:val="24"/>
                <w:lang w:eastAsia="pt-BR"/>
              </w:rPr>
              <w:t>Média histórica (Bandeiras/ano)</w:t>
            </w:r>
          </w:p>
        </w:tc>
        <w:tc>
          <w:tcPr>
            <w:tcW w:w="1566" w:type="dxa"/>
            <w:tcBorders>
              <w:top w:val="single" w:sz="4" w:space="0" w:color="auto"/>
              <w:left w:val="nil"/>
              <w:bottom w:val="single" w:sz="4" w:space="0" w:color="auto"/>
              <w:right w:val="nil"/>
            </w:tcBorders>
            <w:shd w:val="clear" w:color="auto" w:fill="auto"/>
            <w:noWrap/>
            <w:vAlign w:val="center"/>
            <w:hideMark/>
          </w:tcPr>
          <w:p w:rsidR="002801C7" w:rsidRPr="002801C7" w:rsidRDefault="002801C7" w:rsidP="002801C7">
            <w:pPr>
              <w:spacing w:after="0" w:line="240" w:lineRule="auto"/>
              <w:contextualSpacing w:val="0"/>
              <w:jc w:val="center"/>
              <w:rPr>
                <w:rFonts w:eastAsia="Times New Roman" w:cs="Arial"/>
                <w:color w:val="000000"/>
                <w:szCs w:val="24"/>
                <w:lang w:eastAsia="pt-BR"/>
              </w:rPr>
            </w:pPr>
            <w:r w:rsidRPr="002801C7">
              <w:rPr>
                <w:rFonts w:eastAsia="Times New Roman" w:cs="Arial"/>
                <w:color w:val="000000"/>
                <w:szCs w:val="24"/>
                <w:lang w:eastAsia="pt-BR"/>
              </w:rPr>
              <w:t>7</w:t>
            </w:r>
          </w:p>
        </w:tc>
        <w:tc>
          <w:tcPr>
            <w:tcW w:w="1566" w:type="dxa"/>
            <w:tcBorders>
              <w:top w:val="single" w:sz="4" w:space="0" w:color="auto"/>
              <w:left w:val="nil"/>
              <w:bottom w:val="single" w:sz="4" w:space="0" w:color="auto"/>
              <w:right w:val="nil"/>
            </w:tcBorders>
            <w:shd w:val="clear" w:color="auto" w:fill="auto"/>
            <w:noWrap/>
            <w:vAlign w:val="center"/>
            <w:hideMark/>
          </w:tcPr>
          <w:p w:rsidR="002801C7" w:rsidRPr="002801C7" w:rsidRDefault="002801C7" w:rsidP="002801C7">
            <w:pPr>
              <w:spacing w:after="0" w:line="240" w:lineRule="auto"/>
              <w:contextualSpacing w:val="0"/>
              <w:jc w:val="center"/>
              <w:rPr>
                <w:rFonts w:eastAsia="Times New Roman" w:cs="Arial"/>
                <w:color w:val="000000"/>
                <w:szCs w:val="24"/>
                <w:lang w:eastAsia="pt-BR"/>
              </w:rPr>
            </w:pPr>
            <w:r w:rsidRPr="002801C7">
              <w:rPr>
                <w:rFonts w:eastAsia="Times New Roman" w:cs="Arial"/>
                <w:color w:val="000000"/>
                <w:szCs w:val="24"/>
                <w:lang w:eastAsia="pt-BR"/>
              </w:rPr>
              <w:t>3</w:t>
            </w:r>
          </w:p>
        </w:tc>
        <w:tc>
          <w:tcPr>
            <w:tcW w:w="1566" w:type="dxa"/>
            <w:tcBorders>
              <w:top w:val="single" w:sz="4" w:space="0" w:color="auto"/>
              <w:left w:val="nil"/>
              <w:bottom w:val="single" w:sz="4" w:space="0" w:color="auto"/>
              <w:right w:val="nil"/>
            </w:tcBorders>
            <w:shd w:val="clear" w:color="auto" w:fill="auto"/>
            <w:noWrap/>
            <w:vAlign w:val="center"/>
            <w:hideMark/>
          </w:tcPr>
          <w:p w:rsidR="002801C7" w:rsidRPr="002801C7" w:rsidRDefault="002801C7" w:rsidP="002801C7">
            <w:pPr>
              <w:spacing w:after="0" w:line="240" w:lineRule="auto"/>
              <w:contextualSpacing w:val="0"/>
              <w:jc w:val="center"/>
              <w:rPr>
                <w:rFonts w:eastAsia="Times New Roman" w:cs="Arial"/>
                <w:color w:val="000000"/>
                <w:szCs w:val="24"/>
                <w:lang w:eastAsia="pt-BR"/>
              </w:rPr>
            </w:pPr>
            <w:r w:rsidRPr="002801C7">
              <w:rPr>
                <w:rFonts w:eastAsia="Times New Roman" w:cs="Arial"/>
                <w:color w:val="000000"/>
                <w:szCs w:val="24"/>
                <w:lang w:eastAsia="pt-BR"/>
              </w:rPr>
              <w:t>2</w:t>
            </w:r>
          </w:p>
        </w:tc>
      </w:tr>
      <w:tr w:rsidR="002801C7" w:rsidRPr="002801C7" w:rsidTr="00B57856">
        <w:trPr>
          <w:trHeight w:val="341"/>
        </w:trPr>
        <w:tc>
          <w:tcPr>
            <w:tcW w:w="4373" w:type="dxa"/>
            <w:tcBorders>
              <w:top w:val="single" w:sz="4" w:space="0" w:color="auto"/>
              <w:left w:val="nil"/>
              <w:bottom w:val="single" w:sz="4" w:space="0" w:color="auto"/>
              <w:right w:val="nil"/>
            </w:tcBorders>
            <w:shd w:val="clear" w:color="auto" w:fill="auto"/>
            <w:noWrap/>
            <w:vAlign w:val="center"/>
            <w:hideMark/>
          </w:tcPr>
          <w:p w:rsidR="002801C7" w:rsidRPr="002801C7" w:rsidRDefault="002801C7" w:rsidP="002801C7">
            <w:pPr>
              <w:spacing w:after="0" w:line="240" w:lineRule="auto"/>
              <w:contextualSpacing w:val="0"/>
              <w:jc w:val="center"/>
              <w:rPr>
                <w:rFonts w:eastAsia="Times New Roman" w:cs="Arial"/>
                <w:color w:val="000000"/>
                <w:szCs w:val="24"/>
                <w:lang w:eastAsia="pt-BR"/>
              </w:rPr>
            </w:pPr>
            <w:r w:rsidRPr="002801C7">
              <w:rPr>
                <w:rFonts w:eastAsia="Times New Roman" w:cs="Arial"/>
                <w:color w:val="000000"/>
                <w:szCs w:val="24"/>
                <w:lang w:eastAsia="pt-BR"/>
              </w:rPr>
              <w:t>Valor (R$/kWh)</w:t>
            </w:r>
          </w:p>
        </w:tc>
        <w:tc>
          <w:tcPr>
            <w:tcW w:w="1566" w:type="dxa"/>
            <w:tcBorders>
              <w:top w:val="single" w:sz="4" w:space="0" w:color="auto"/>
              <w:left w:val="nil"/>
              <w:bottom w:val="single" w:sz="4" w:space="0" w:color="auto"/>
              <w:right w:val="nil"/>
            </w:tcBorders>
            <w:shd w:val="clear" w:color="auto" w:fill="auto"/>
            <w:noWrap/>
            <w:vAlign w:val="center"/>
            <w:hideMark/>
          </w:tcPr>
          <w:p w:rsidR="002801C7" w:rsidRPr="002801C7" w:rsidRDefault="002801C7" w:rsidP="002801C7">
            <w:pPr>
              <w:spacing w:after="0" w:line="240" w:lineRule="auto"/>
              <w:contextualSpacing w:val="0"/>
              <w:jc w:val="center"/>
              <w:rPr>
                <w:rFonts w:eastAsia="Times New Roman" w:cs="Arial"/>
                <w:color w:val="000000"/>
                <w:szCs w:val="24"/>
                <w:lang w:eastAsia="pt-BR"/>
              </w:rPr>
            </w:pPr>
            <w:r w:rsidRPr="002801C7">
              <w:rPr>
                <w:rFonts w:eastAsia="Times New Roman" w:cs="Arial"/>
                <w:color w:val="000000"/>
                <w:szCs w:val="24"/>
                <w:lang w:eastAsia="pt-BR"/>
              </w:rPr>
              <w:t>R$ 0,6738</w:t>
            </w:r>
          </w:p>
        </w:tc>
        <w:tc>
          <w:tcPr>
            <w:tcW w:w="1566" w:type="dxa"/>
            <w:tcBorders>
              <w:top w:val="single" w:sz="4" w:space="0" w:color="auto"/>
              <w:left w:val="nil"/>
              <w:bottom w:val="single" w:sz="4" w:space="0" w:color="auto"/>
              <w:right w:val="nil"/>
            </w:tcBorders>
            <w:shd w:val="clear" w:color="auto" w:fill="auto"/>
            <w:noWrap/>
            <w:vAlign w:val="center"/>
            <w:hideMark/>
          </w:tcPr>
          <w:p w:rsidR="002801C7" w:rsidRPr="002801C7" w:rsidRDefault="002801C7" w:rsidP="002801C7">
            <w:pPr>
              <w:spacing w:after="0" w:line="240" w:lineRule="auto"/>
              <w:contextualSpacing w:val="0"/>
              <w:jc w:val="center"/>
              <w:rPr>
                <w:rFonts w:eastAsia="Times New Roman" w:cs="Arial"/>
                <w:color w:val="000000"/>
                <w:szCs w:val="24"/>
                <w:lang w:eastAsia="pt-BR"/>
              </w:rPr>
            </w:pPr>
            <w:r w:rsidRPr="002801C7">
              <w:rPr>
                <w:rFonts w:eastAsia="Times New Roman" w:cs="Arial"/>
                <w:color w:val="000000"/>
                <w:szCs w:val="24"/>
                <w:lang w:eastAsia="pt-BR"/>
              </w:rPr>
              <w:t>R$ 0,6959</w:t>
            </w:r>
          </w:p>
        </w:tc>
        <w:tc>
          <w:tcPr>
            <w:tcW w:w="1566" w:type="dxa"/>
            <w:tcBorders>
              <w:top w:val="single" w:sz="4" w:space="0" w:color="auto"/>
              <w:left w:val="nil"/>
              <w:bottom w:val="single" w:sz="4" w:space="0" w:color="auto"/>
              <w:right w:val="nil"/>
            </w:tcBorders>
            <w:shd w:val="clear" w:color="auto" w:fill="auto"/>
            <w:noWrap/>
            <w:vAlign w:val="center"/>
            <w:hideMark/>
          </w:tcPr>
          <w:p w:rsidR="002801C7" w:rsidRPr="002801C7" w:rsidRDefault="002801C7" w:rsidP="002801C7">
            <w:pPr>
              <w:spacing w:after="0" w:line="240" w:lineRule="auto"/>
              <w:contextualSpacing w:val="0"/>
              <w:jc w:val="center"/>
              <w:rPr>
                <w:rFonts w:eastAsia="Times New Roman" w:cs="Arial"/>
                <w:color w:val="000000"/>
                <w:szCs w:val="24"/>
                <w:lang w:eastAsia="pt-BR"/>
              </w:rPr>
            </w:pPr>
            <w:r>
              <w:rPr>
                <w:rFonts w:eastAsia="Times New Roman" w:cs="Arial"/>
                <w:color w:val="000000"/>
                <w:szCs w:val="24"/>
                <w:lang w:eastAsia="pt-BR"/>
              </w:rPr>
              <w:t>‘</w:t>
            </w:r>
            <w:r w:rsidRPr="002801C7">
              <w:rPr>
                <w:rFonts w:eastAsia="Times New Roman" w:cs="Arial"/>
                <w:color w:val="000000"/>
                <w:szCs w:val="24"/>
                <w:lang w:eastAsia="pt-BR"/>
              </w:rPr>
              <w:t>R$ 0,7181</w:t>
            </w:r>
          </w:p>
        </w:tc>
      </w:tr>
      <w:tr w:rsidR="002801C7" w:rsidRPr="002801C7" w:rsidTr="00B57856">
        <w:trPr>
          <w:trHeight w:val="341"/>
        </w:trPr>
        <w:tc>
          <w:tcPr>
            <w:tcW w:w="4373" w:type="dxa"/>
            <w:tcBorders>
              <w:top w:val="single" w:sz="4" w:space="0" w:color="auto"/>
              <w:left w:val="nil"/>
              <w:bottom w:val="single" w:sz="4" w:space="0" w:color="auto"/>
              <w:right w:val="nil"/>
            </w:tcBorders>
            <w:shd w:val="clear" w:color="auto" w:fill="auto"/>
            <w:noWrap/>
            <w:vAlign w:val="center"/>
            <w:hideMark/>
          </w:tcPr>
          <w:p w:rsidR="002801C7" w:rsidRPr="002801C7" w:rsidRDefault="002801C7" w:rsidP="002801C7">
            <w:pPr>
              <w:spacing w:after="0" w:line="240" w:lineRule="auto"/>
              <w:contextualSpacing w:val="0"/>
              <w:jc w:val="center"/>
              <w:rPr>
                <w:rFonts w:eastAsia="Times New Roman" w:cs="Arial"/>
                <w:color w:val="000000"/>
                <w:szCs w:val="24"/>
                <w:lang w:eastAsia="pt-BR"/>
              </w:rPr>
            </w:pPr>
            <w:r w:rsidRPr="002801C7">
              <w:rPr>
                <w:rFonts w:eastAsia="Times New Roman" w:cs="Arial"/>
                <w:color w:val="000000"/>
                <w:szCs w:val="24"/>
                <w:lang w:eastAsia="pt-BR"/>
              </w:rPr>
              <w:t>Preço médio (R$/kWh)</w:t>
            </w:r>
          </w:p>
        </w:tc>
        <w:tc>
          <w:tcPr>
            <w:tcW w:w="4698" w:type="dxa"/>
            <w:gridSpan w:val="3"/>
            <w:tcBorders>
              <w:top w:val="single" w:sz="4" w:space="0" w:color="auto"/>
              <w:left w:val="nil"/>
              <w:bottom w:val="single" w:sz="4" w:space="0" w:color="auto"/>
              <w:right w:val="nil"/>
            </w:tcBorders>
            <w:shd w:val="clear" w:color="auto" w:fill="auto"/>
            <w:noWrap/>
            <w:vAlign w:val="center"/>
            <w:hideMark/>
          </w:tcPr>
          <w:p w:rsidR="002801C7" w:rsidRPr="002801C7" w:rsidRDefault="002801C7" w:rsidP="002801C7">
            <w:pPr>
              <w:spacing w:after="0" w:line="240" w:lineRule="auto"/>
              <w:contextualSpacing w:val="0"/>
              <w:jc w:val="center"/>
              <w:rPr>
                <w:rFonts w:eastAsia="Times New Roman" w:cs="Arial"/>
                <w:color w:val="000000"/>
                <w:szCs w:val="24"/>
                <w:lang w:eastAsia="pt-BR"/>
              </w:rPr>
            </w:pPr>
            <w:r w:rsidRPr="002801C7">
              <w:rPr>
                <w:rFonts w:eastAsia="Times New Roman" w:cs="Arial"/>
                <w:color w:val="000000"/>
                <w:szCs w:val="24"/>
                <w:lang w:eastAsia="pt-BR"/>
              </w:rPr>
              <w:t>R$ 0,6867</w:t>
            </w:r>
          </w:p>
        </w:tc>
      </w:tr>
    </w:tbl>
    <w:p w:rsidR="000604CB" w:rsidRDefault="00C91A0F" w:rsidP="00C91A0F">
      <w:pPr>
        <w:jc w:val="center"/>
        <w:rPr>
          <w:b/>
        </w:rPr>
      </w:pPr>
      <w:r w:rsidRPr="00C91A0F">
        <w:t>Fonte: Autoria Própria</w:t>
      </w:r>
    </w:p>
    <w:p w:rsidR="00DB227D" w:rsidRDefault="00DB227D" w:rsidP="00BA081B"/>
    <w:p w:rsidR="007E67C1" w:rsidRDefault="007E67C1" w:rsidP="00BA081B">
      <w:r>
        <w:t>Para se estimar a economia em um ano, foi considerado que a bomba funciona 24 horas por dia.</w:t>
      </w:r>
      <w:r w:rsidR="003566F3">
        <w:t xml:space="preserve"> A </w:t>
      </w:r>
      <w:r w:rsidR="001B2AB4">
        <w:fldChar w:fldCharType="begin"/>
      </w:r>
      <w:r w:rsidR="001B2AB4">
        <w:instrText xml:space="preserve"> REF _Ref488277363 \h </w:instrText>
      </w:r>
      <w:r w:rsidR="001B2AB4">
        <w:fldChar w:fldCharType="separate"/>
      </w:r>
      <w:r w:rsidR="00C91A0F">
        <w:t xml:space="preserve">Tabela </w:t>
      </w:r>
      <w:r w:rsidR="00C91A0F">
        <w:rPr>
          <w:noProof/>
        </w:rPr>
        <w:t>8</w:t>
      </w:r>
      <w:r w:rsidR="001B2AB4">
        <w:fldChar w:fldCharType="end"/>
      </w:r>
      <w:r w:rsidR="001B2AB4">
        <w:t xml:space="preserve"> exibe os dados para cálculo e resultado da economia de energia anual obtida pela planta no cenário atual.</w:t>
      </w:r>
    </w:p>
    <w:p w:rsidR="003566F3" w:rsidRDefault="003566F3" w:rsidP="00C91A0F">
      <w:pPr>
        <w:pStyle w:val="Tabela-PG"/>
      </w:pPr>
      <w:bookmarkStart w:id="181" w:name="_Ref488277363"/>
      <w:bookmarkStart w:id="182" w:name="_Toc488706089"/>
      <w:r>
        <w:t xml:space="preserve">Tabela </w:t>
      </w:r>
      <w:fldSimple w:instr=" SEQ Tabela \* ARABIC ">
        <w:r w:rsidR="00C91A0F">
          <w:rPr>
            <w:noProof/>
          </w:rPr>
          <w:t>8</w:t>
        </w:r>
      </w:fldSimple>
      <w:bookmarkEnd w:id="181"/>
      <w:r w:rsidR="00DB227D">
        <w:t xml:space="preserve"> - </w:t>
      </w:r>
      <w:r>
        <w:t>Dados e cálculo da receita com economia de energia anual.</w:t>
      </w:r>
      <w:bookmarkEnd w:id="182"/>
    </w:p>
    <w:tbl>
      <w:tblPr>
        <w:tblW w:w="9072" w:type="dxa"/>
        <w:tblLayout w:type="fixed"/>
        <w:tblCellMar>
          <w:left w:w="70" w:type="dxa"/>
          <w:right w:w="70" w:type="dxa"/>
        </w:tblCellMar>
        <w:tblLook w:val="04A0" w:firstRow="1" w:lastRow="0" w:firstColumn="1" w:lastColumn="0" w:noHBand="0" w:noVBand="1"/>
      </w:tblPr>
      <w:tblGrid>
        <w:gridCol w:w="4536"/>
        <w:gridCol w:w="4536"/>
      </w:tblGrid>
      <w:tr w:rsidR="007E67C1" w:rsidRPr="007E67C1" w:rsidTr="00B57856">
        <w:trPr>
          <w:trHeight w:val="340"/>
        </w:trPr>
        <w:tc>
          <w:tcPr>
            <w:tcW w:w="9072" w:type="dxa"/>
            <w:gridSpan w:val="2"/>
            <w:tcBorders>
              <w:top w:val="single" w:sz="4" w:space="0" w:color="auto"/>
              <w:left w:val="nil"/>
              <w:bottom w:val="single" w:sz="4" w:space="0" w:color="auto"/>
              <w:right w:val="nil"/>
            </w:tcBorders>
            <w:shd w:val="clear" w:color="auto" w:fill="auto"/>
            <w:noWrap/>
            <w:vAlign w:val="center"/>
            <w:hideMark/>
          </w:tcPr>
          <w:p w:rsidR="007E67C1" w:rsidRPr="007E67C1" w:rsidRDefault="007E67C1" w:rsidP="007E67C1">
            <w:pPr>
              <w:spacing w:after="0" w:line="240" w:lineRule="auto"/>
              <w:contextualSpacing w:val="0"/>
              <w:jc w:val="center"/>
              <w:rPr>
                <w:rFonts w:eastAsia="Times New Roman" w:cs="Arial"/>
                <w:b/>
                <w:i/>
                <w:iCs/>
                <w:color w:val="000000"/>
                <w:szCs w:val="24"/>
                <w:lang w:eastAsia="pt-BR"/>
              </w:rPr>
            </w:pPr>
            <w:r w:rsidRPr="007E67C1">
              <w:rPr>
                <w:rFonts w:eastAsia="Times New Roman" w:cs="Arial"/>
                <w:b/>
                <w:i/>
                <w:iCs/>
                <w:color w:val="000000"/>
                <w:szCs w:val="24"/>
                <w:lang w:eastAsia="pt-BR"/>
              </w:rPr>
              <w:t>Receita anual de economia de energia</w:t>
            </w:r>
          </w:p>
        </w:tc>
      </w:tr>
      <w:tr w:rsidR="00821983" w:rsidRPr="007E67C1" w:rsidTr="00B57856">
        <w:trPr>
          <w:trHeight w:val="340"/>
        </w:trPr>
        <w:tc>
          <w:tcPr>
            <w:tcW w:w="4536" w:type="dxa"/>
            <w:tcBorders>
              <w:top w:val="nil"/>
              <w:left w:val="nil"/>
              <w:bottom w:val="single" w:sz="4" w:space="0" w:color="auto"/>
              <w:right w:val="nil"/>
            </w:tcBorders>
            <w:shd w:val="clear" w:color="auto" w:fill="auto"/>
            <w:noWrap/>
            <w:vAlign w:val="center"/>
          </w:tcPr>
          <w:p w:rsidR="00821983" w:rsidRPr="00821983" w:rsidRDefault="00821983" w:rsidP="007E67C1">
            <w:pPr>
              <w:spacing w:after="0" w:line="240" w:lineRule="auto"/>
              <w:contextualSpacing w:val="0"/>
              <w:jc w:val="center"/>
              <w:rPr>
                <w:rFonts w:eastAsia="Times New Roman" w:cs="Arial"/>
                <w:b/>
                <w:i/>
                <w:color w:val="000000"/>
                <w:szCs w:val="24"/>
                <w:lang w:eastAsia="pt-BR"/>
              </w:rPr>
            </w:pPr>
            <w:r w:rsidRPr="00821983">
              <w:rPr>
                <w:rFonts w:eastAsia="Times New Roman" w:cs="Arial"/>
                <w:b/>
                <w:i/>
                <w:color w:val="000000"/>
                <w:szCs w:val="24"/>
                <w:lang w:eastAsia="pt-BR"/>
              </w:rPr>
              <w:t>Descrição</w:t>
            </w:r>
          </w:p>
        </w:tc>
        <w:tc>
          <w:tcPr>
            <w:tcW w:w="4536" w:type="dxa"/>
            <w:tcBorders>
              <w:top w:val="nil"/>
              <w:left w:val="nil"/>
              <w:bottom w:val="single" w:sz="4" w:space="0" w:color="auto"/>
              <w:right w:val="nil"/>
            </w:tcBorders>
            <w:shd w:val="clear" w:color="auto" w:fill="auto"/>
            <w:noWrap/>
            <w:vAlign w:val="center"/>
          </w:tcPr>
          <w:p w:rsidR="00821983" w:rsidRPr="00821983" w:rsidRDefault="00821983" w:rsidP="007E67C1">
            <w:pPr>
              <w:spacing w:after="0" w:line="240" w:lineRule="auto"/>
              <w:contextualSpacing w:val="0"/>
              <w:jc w:val="center"/>
              <w:rPr>
                <w:rFonts w:eastAsia="Times New Roman" w:cs="Arial"/>
                <w:b/>
                <w:i/>
                <w:color w:val="000000"/>
                <w:szCs w:val="24"/>
                <w:lang w:eastAsia="pt-BR"/>
              </w:rPr>
            </w:pPr>
            <w:r w:rsidRPr="00821983">
              <w:rPr>
                <w:rFonts w:eastAsia="Times New Roman" w:cs="Arial"/>
                <w:b/>
                <w:i/>
                <w:color w:val="000000"/>
                <w:szCs w:val="24"/>
                <w:lang w:eastAsia="pt-BR"/>
              </w:rPr>
              <w:t>Valor</w:t>
            </w:r>
          </w:p>
        </w:tc>
      </w:tr>
      <w:tr w:rsidR="007E67C1" w:rsidRPr="007E67C1" w:rsidTr="00B57856">
        <w:trPr>
          <w:trHeight w:val="340"/>
        </w:trPr>
        <w:tc>
          <w:tcPr>
            <w:tcW w:w="4536" w:type="dxa"/>
            <w:tcBorders>
              <w:top w:val="nil"/>
              <w:left w:val="nil"/>
              <w:bottom w:val="single" w:sz="4" w:space="0" w:color="auto"/>
              <w:right w:val="nil"/>
            </w:tcBorders>
            <w:shd w:val="clear" w:color="auto" w:fill="auto"/>
            <w:noWrap/>
            <w:vAlign w:val="center"/>
            <w:hideMark/>
          </w:tcPr>
          <w:p w:rsidR="007E67C1" w:rsidRPr="007E67C1" w:rsidRDefault="007E67C1" w:rsidP="007E67C1">
            <w:pPr>
              <w:spacing w:after="0" w:line="240" w:lineRule="auto"/>
              <w:contextualSpacing w:val="0"/>
              <w:jc w:val="center"/>
              <w:rPr>
                <w:rFonts w:eastAsia="Times New Roman" w:cs="Arial"/>
                <w:color w:val="000000"/>
                <w:szCs w:val="24"/>
                <w:lang w:eastAsia="pt-BR"/>
              </w:rPr>
            </w:pPr>
            <w:r w:rsidRPr="007E67C1">
              <w:rPr>
                <w:rFonts w:eastAsia="Times New Roman" w:cs="Arial"/>
                <w:color w:val="000000"/>
                <w:szCs w:val="24"/>
                <w:lang w:eastAsia="pt-BR"/>
              </w:rPr>
              <w:t>Intervalo de aplicação (horas)</w:t>
            </w:r>
          </w:p>
        </w:tc>
        <w:tc>
          <w:tcPr>
            <w:tcW w:w="4536" w:type="dxa"/>
            <w:tcBorders>
              <w:top w:val="nil"/>
              <w:left w:val="nil"/>
              <w:bottom w:val="single" w:sz="4" w:space="0" w:color="auto"/>
              <w:right w:val="nil"/>
            </w:tcBorders>
            <w:shd w:val="clear" w:color="auto" w:fill="auto"/>
            <w:noWrap/>
            <w:vAlign w:val="center"/>
            <w:hideMark/>
          </w:tcPr>
          <w:p w:rsidR="007E67C1" w:rsidRPr="007E67C1" w:rsidRDefault="007E67C1" w:rsidP="007E67C1">
            <w:pPr>
              <w:spacing w:after="0" w:line="240" w:lineRule="auto"/>
              <w:contextualSpacing w:val="0"/>
              <w:jc w:val="center"/>
              <w:rPr>
                <w:rFonts w:eastAsia="Times New Roman" w:cs="Arial"/>
                <w:color w:val="000000"/>
                <w:szCs w:val="24"/>
                <w:lang w:eastAsia="pt-BR"/>
              </w:rPr>
            </w:pPr>
            <w:r w:rsidRPr="007E67C1">
              <w:rPr>
                <w:rFonts w:eastAsia="Times New Roman" w:cs="Arial"/>
                <w:color w:val="000000"/>
                <w:szCs w:val="24"/>
                <w:lang w:eastAsia="pt-BR"/>
              </w:rPr>
              <w:t>36</w:t>
            </w:r>
          </w:p>
        </w:tc>
      </w:tr>
      <w:tr w:rsidR="007E67C1" w:rsidRPr="007E67C1" w:rsidTr="00B57856">
        <w:trPr>
          <w:trHeight w:val="340"/>
        </w:trPr>
        <w:tc>
          <w:tcPr>
            <w:tcW w:w="4536" w:type="dxa"/>
            <w:tcBorders>
              <w:top w:val="nil"/>
              <w:left w:val="nil"/>
              <w:bottom w:val="single" w:sz="4" w:space="0" w:color="auto"/>
              <w:right w:val="nil"/>
            </w:tcBorders>
            <w:shd w:val="clear" w:color="auto" w:fill="auto"/>
            <w:noWrap/>
            <w:vAlign w:val="center"/>
            <w:hideMark/>
          </w:tcPr>
          <w:p w:rsidR="007E67C1" w:rsidRPr="007E67C1" w:rsidRDefault="007E67C1" w:rsidP="007E67C1">
            <w:pPr>
              <w:spacing w:after="0" w:line="240" w:lineRule="auto"/>
              <w:contextualSpacing w:val="0"/>
              <w:jc w:val="center"/>
              <w:rPr>
                <w:rFonts w:eastAsia="Times New Roman" w:cs="Arial"/>
                <w:color w:val="000000"/>
                <w:szCs w:val="24"/>
                <w:lang w:eastAsia="pt-BR"/>
              </w:rPr>
            </w:pPr>
            <w:r w:rsidRPr="007E67C1">
              <w:rPr>
                <w:rFonts w:eastAsia="Times New Roman" w:cs="Arial"/>
                <w:color w:val="000000"/>
                <w:szCs w:val="24"/>
                <w:lang w:eastAsia="pt-BR"/>
              </w:rPr>
              <w:t>Número de períodos por ano</w:t>
            </w:r>
          </w:p>
        </w:tc>
        <w:tc>
          <w:tcPr>
            <w:tcW w:w="4536" w:type="dxa"/>
            <w:tcBorders>
              <w:top w:val="nil"/>
              <w:left w:val="nil"/>
              <w:bottom w:val="single" w:sz="4" w:space="0" w:color="auto"/>
              <w:right w:val="nil"/>
            </w:tcBorders>
            <w:shd w:val="clear" w:color="auto" w:fill="auto"/>
            <w:noWrap/>
            <w:vAlign w:val="center"/>
            <w:hideMark/>
          </w:tcPr>
          <w:p w:rsidR="007E67C1" w:rsidRPr="007E67C1" w:rsidRDefault="007E67C1" w:rsidP="007E67C1">
            <w:pPr>
              <w:spacing w:after="0" w:line="240" w:lineRule="auto"/>
              <w:contextualSpacing w:val="0"/>
              <w:jc w:val="center"/>
              <w:rPr>
                <w:rFonts w:eastAsia="Times New Roman" w:cs="Arial"/>
                <w:color w:val="000000"/>
                <w:szCs w:val="24"/>
                <w:lang w:eastAsia="pt-BR"/>
              </w:rPr>
            </w:pPr>
            <w:r w:rsidRPr="007E67C1">
              <w:rPr>
                <w:rFonts w:eastAsia="Times New Roman" w:cs="Arial"/>
                <w:color w:val="000000"/>
                <w:szCs w:val="24"/>
                <w:lang w:eastAsia="pt-BR"/>
              </w:rPr>
              <w:t>243</w:t>
            </w:r>
          </w:p>
        </w:tc>
      </w:tr>
      <w:tr w:rsidR="007E67C1" w:rsidRPr="007E67C1" w:rsidTr="00B57856">
        <w:trPr>
          <w:trHeight w:val="340"/>
        </w:trPr>
        <w:tc>
          <w:tcPr>
            <w:tcW w:w="4536" w:type="dxa"/>
            <w:tcBorders>
              <w:top w:val="nil"/>
              <w:left w:val="nil"/>
              <w:bottom w:val="single" w:sz="4" w:space="0" w:color="auto"/>
              <w:right w:val="nil"/>
            </w:tcBorders>
            <w:shd w:val="clear" w:color="auto" w:fill="auto"/>
            <w:noWrap/>
            <w:vAlign w:val="center"/>
            <w:hideMark/>
          </w:tcPr>
          <w:p w:rsidR="007E67C1" w:rsidRPr="007E67C1" w:rsidRDefault="007E67C1" w:rsidP="007E67C1">
            <w:pPr>
              <w:spacing w:after="0" w:line="240" w:lineRule="auto"/>
              <w:contextualSpacing w:val="0"/>
              <w:jc w:val="center"/>
              <w:rPr>
                <w:rFonts w:eastAsia="Times New Roman" w:cs="Arial"/>
                <w:color w:val="000000"/>
                <w:szCs w:val="24"/>
                <w:lang w:eastAsia="pt-BR"/>
              </w:rPr>
            </w:pPr>
            <w:r w:rsidRPr="007E67C1">
              <w:rPr>
                <w:rFonts w:eastAsia="Times New Roman" w:cs="Arial"/>
                <w:color w:val="000000"/>
                <w:szCs w:val="24"/>
                <w:lang w:eastAsia="pt-BR"/>
              </w:rPr>
              <w:t>Economia de energia por período (kWh)</w:t>
            </w:r>
          </w:p>
        </w:tc>
        <w:tc>
          <w:tcPr>
            <w:tcW w:w="4536" w:type="dxa"/>
            <w:tcBorders>
              <w:top w:val="nil"/>
              <w:left w:val="nil"/>
              <w:bottom w:val="single" w:sz="4" w:space="0" w:color="auto"/>
              <w:right w:val="nil"/>
            </w:tcBorders>
            <w:shd w:val="clear" w:color="auto" w:fill="auto"/>
            <w:noWrap/>
            <w:vAlign w:val="center"/>
            <w:hideMark/>
          </w:tcPr>
          <w:p w:rsidR="007E67C1" w:rsidRPr="007E67C1" w:rsidRDefault="007E67C1" w:rsidP="007E67C1">
            <w:pPr>
              <w:spacing w:after="0" w:line="240" w:lineRule="auto"/>
              <w:contextualSpacing w:val="0"/>
              <w:jc w:val="center"/>
              <w:rPr>
                <w:rFonts w:eastAsia="Times New Roman" w:cs="Arial"/>
                <w:color w:val="000000"/>
                <w:szCs w:val="24"/>
                <w:lang w:eastAsia="pt-BR"/>
              </w:rPr>
            </w:pPr>
            <w:r w:rsidRPr="007E67C1">
              <w:rPr>
                <w:rFonts w:eastAsia="Times New Roman" w:cs="Arial"/>
                <w:color w:val="000000"/>
                <w:szCs w:val="24"/>
                <w:lang w:eastAsia="pt-BR"/>
              </w:rPr>
              <w:t>17,61</w:t>
            </w:r>
          </w:p>
        </w:tc>
      </w:tr>
      <w:tr w:rsidR="007A7A7D" w:rsidRPr="007E67C1" w:rsidTr="00B57856">
        <w:trPr>
          <w:trHeight w:val="340"/>
        </w:trPr>
        <w:tc>
          <w:tcPr>
            <w:tcW w:w="4536" w:type="dxa"/>
            <w:tcBorders>
              <w:top w:val="nil"/>
              <w:left w:val="nil"/>
              <w:bottom w:val="single" w:sz="4" w:space="0" w:color="auto"/>
              <w:right w:val="nil"/>
            </w:tcBorders>
            <w:shd w:val="clear" w:color="auto" w:fill="auto"/>
            <w:noWrap/>
            <w:vAlign w:val="center"/>
          </w:tcPr>
          <w:p w:rsidR="007A7A7D" w:rsidRPr="007E67C1" w:rsidRDefault="007A7A7D" w:rsidP="007E67C1">
            <w:pPr>
              <w:spacing w:after="0" w:line="240" w:lineRule="auto"/>
              <w:contextualSpacing w:val="0"/>
              <w:jc w:val="center"/>
              <w:rPr>
                <w:rFonts w:eastAsia="Times New Roman" w:cs="Arial"/>
                <w:color w:val="000000"/>
                <w:szCs w:val="24"/>
                <w:lang w:eastAsia="pt-BR"/>
              </w:rPr>
            </w:pPr>
            <w:r w:rsidRPr="007A7A7D">
              <w:rPr>
                <w:rFonts w:eastAsia="Times New Roman" w:cs="Arial"/>
                <w:color w:val="000000"/>
                <w:szCs w:val="24"/>
                <w:lang w:eastAsia="pt-BR"/>
              </w:rPr>
              <w:t>Economia de energia anual (kWh)</w:t>
            </w:r>
          </w:p>
        </w:tc>
        <w:tc>
          <w:tcPr>
            <w:tcW w:w="4536" w:type="dxa"/>
            <w:tcBorders>
              <w:top w:val="nil"/>
              <w:left w:val="nil"/>
              <w:bottom w:val="single" w:sz="4" w:space="0" w:color="auto"/>
              <w:right w:val="nil"/>
            </w:tcBorders>
            <w:shd w:val="clear" w:color="auto" w:fill="auto"/>
            <w:noWrap/>
            <w:vAlign w:val="center"/>
          </w:tcPr>
          <w:p w:rsidR="007A7A7D" w:rsidRPr="007E67C1" w:rsidRDefault="007A7A7D" w:rsidP="007E67C1">
            <w:pPr>
              <w:spacing w:after="0" w:line="240" w:lineRule="auto"/>
              <w:contextualSpacing w:val="0"/>
              <w:jc w:val="center"/>
              <w:rPr>
                <w:rFonts w:eastAsia="Times New Roman" w:cs="Arial"/>
                <w:color w:val="000000"/>
                <w:szCs w:val="24"/>
                <w:lang w:eastAsia="pt-BR"/>
              </w:rPr>
            </w:pPr>
            <w:r>
              <w:rPr>
                <w:rFonts w:eastAsia="Times New Roman" w:cs="Arial"/>
                <w:color w:val="000000"/>
                <w:szCs w:val="24"/>
                <w:lang w:eastAsia="pt-BR"/>
              </w:rPr>
              <w:t>4279,23</w:t>
            </w:r>
          </w:p>
        </w:tc>
      </w:tr>
      <w:tr w:rsidR="007E67C1" w:rsidRPr="007E67C1" w:rsidTr="00B57856">
        <w:trPr>
          <w:trHeight w:val="340"/>
        </w:trPr>
        <w:tc>
          <w:tcPr>
            <w:tcW w:w="4536" w:type="dxa"/>
            <w:tcBorders>
              <w:top w:val="nil"/>
              <w:left w:val="nil"/>
              <w:bottom w:val="single" w:sz="4" w:space="0" w:color="auto"/>
              <w:right w:val="nil"/>
            </w:tcBorders>
            <w:shd w:val="clear" w:color="auto" w:fill="auto"/>
            <w:noWrap/>
            <w:vAlign w:val="center"/>
            <w:hideMark/>
          </w:tcPr>
          <w:p w:rsidR="007E67C1" w:rsidRPr="007E67C1" w:rsidRDefault="007E67C1" w:rsidP="007E67C1">
            <w:pPr>
              <w:spacing w:after="0" w:line="240" w:lineRule="auto"/>
              <w:contextualSpacing w:val="0"/>
              <w:jc w:val="center"/>
              <w:rPr>
                <w:rFonts w:eastAsia="Times New Roman" w:cs="Arial"/>
                <w:color w:val="000000"/>
                <w:szCs w:val="24"/>
                <w:lang w:eastAsia="pt-BR"/>
              </w:rPr>
            </w:pPr>
            <w:r w:rsidRPr="007E67C1">
              <w:rPr>
                <w:rFonts w:eastAsia="Times New Roman" w:cs="Arial"/>
                <w:color w:val="000000"/>
                <w:szCs w:val="24"/>
                <w:lang w:eastAsia="pt-BR"/>
              </w:rPr>
              <w:t>Preço médio (R$/kWh)</w:t>
            </w:r>
          </w:p>
        </w:tc>
        <w:tc>
          <w:tcPr>
            <w:tcW w:w="4536" w:type="dxa"/>
            <w:tcBorders>
              <w:top w:val="nil"/>
              <w:left w:val="nil"/>
              <w:bottom w:val="single" w:sz="4" w:space="0" w:color="auto"/>
              <w:right w:val="nil"/>
            </w:tcBorders>
            <w:shd w:val="clear" w:color="auto" w:fill="auto"/>
            <w:noWrap/>
            <w:vAlign w:val="center"/>
            <w:hideMark/>
          </w:tcPr>
          <w:p w:rsidR="007E67C1" w:rsidRPr="007E67C1" w:rsidRDefault="003566F3" w:rsidP="007E67C1">
            <w:pPr>
              <w:spacing w:after="0" w:line="240" w:lineRule="auto"/>
              <w:contextualSpacing w:val="0"/>
              <w:jc w:val="center"/>
              <w:rPr>
                <w:rFonts w:eastAsia="Times New Roman" w:cs="Arial"/>
                <w:color w:val="000000"/>
                <w:szCs w:val="24"/>
                <w:lang w:eastAsia="pt-BR"/>
              </w:rPr>
            </w:pPr>
            <w:r>
              <w:rPr>
                <w:rFonts w:eastAsia="Times New Roman" w:cs="Arial"/>
                <w:color w:val="000000"/>
                <w:szCs w:val="24"/>
                <w:lang w:eastAsia="pt-BR"/>
              </w:rPr>
              <w:t xml:space="preserve"> R$ </w:t>
            </w:r>
            <w:r w:rsidR="007E67C1" w:rsidRPr="007E67C1">
              <w:rPr>
                <w:rFonts w:eastAsia="Times New Roman" w:cs="Arial"/>
                <w:color w:val="000000"/>
                <w:szCs w:val="24"/>
                <w:lang w:eastAsia="pt-BR"/>
              </w:rPr>
              <w:t xml:space="preserve">   0,6867 </w:t>
            </w:r>
          </w:p>
        </w:tc>
      </w:tr>
      <w:tr w:rsidR="007E67C1" w:rsidRPr="005006B6" w:rsidTr="00B57856">
        <w:trPr>
          <w:trHeight w:val="340"/>
        </w:trPr>
        <w:tc>
          <w:tcPr>
            <w:tcW w:w="4536" w:type="dxa"/>
            <w:tcBorders>
              <w:top w:val="nil"/>
              <w:left w:val="nil"/>
              <w:bottom w:val="single" w:sz="4" w:space="0" w:color="auto"/>
              <w:right w:val="nil"/>
            </w:tcBorders>
            <w:shd w:val="clear" w:color="auto" w:fill="auto"/>
            <w:noWrap/>
            <w:vAlign w:val="center"/>
            <w:hideMark/>
          </w:tcPr>
          <w:p w:rsidR="007E67C1" w:rsidRPr="005006B6" w:rsidRDefault="007A7A7D" w:rsidP="007A7A7D">
            <w:pPr>
              <w:spacing w:after="0" w:line="240" w:lineRule="auto"/>
              <w:contextualSpacing w:val="0"/>
              <w:jc w:val="center"/>
              <w:rPr>
                <w:rFonts w:eastAsia="Times New Roman" w:cs="Arial"/>
                <w:b/>
                <w:color w:val="000000"/>
                <w:szCs w:val="24"/>
                <w:lang w:eastAsia="pt-BR"/>
              </w:rPr>
            </w:pPr>
            <w:r>
              <w:rPr>
                <w:rFonts w:eastAsia="Times New Roman" w:cs="Arial"/>
                <w:b/>
                <w:color w:val="000000"/>
                <w:szCs w:val="24"/>
                <w:lang w:eastAsia="pt-BR"/>
              </w:rPr>
              <w:t xml:space="preserve">Economia </w:t>
            </w:r>
            <w:r w:rsidR="007E67C1" w:rsidRPr="005006B6">
              <w:rPr>
                <w:rFonts w:eastAsia="Times New Roman" w:cs="Arial"/>
                <w:b/>
                <w:color w:val="000000"/>
                <w:szCs w:val="24"/>
                <w:lang w:eastAsia="pt-BR"/>
              </w:rPr>
              <w:t>anual</w:t>
            </w:r>
          </w:p>
        </w:tc>
        <w:tc>
          <w:tcPr>
            <w:tcW w:w="4536" w:type="dxa"/>
            <w:tcBorders>
              <w:top w:val="nil"/>
              <w:left w:val="nil"/>
              <w:bottom w:val="single" w:sz="4" w:space="0" w:color="auto"/>
              <w:right w:val="nil"/>
            </w:tcBorders>
            <w:shd w:val="clear" w:color="auto" w:fill="auto"/>
            <w:noWrap/>
            <w:vAlign w:val="center"/>
            <w:hideMark/>
          </w:tcPr>
          <w:p w:rsidR="007E67C1" w:rsidRPr="005006B6" w:rsidRDefault="003566F3" w:rsidP="007E67C1">
            <w:pPr>
              <w:spacing w:after="0" w:line="240" w:lineRule="auto"/>
              <w:contextualSpacing w:val="0"/>
              <w:jc w:val="center"/>
              <w:rPr>
                <w:rFonts w:eastAsia="Times New Roman" w:cs="Arial"/>
                <w:b/>
                <w:color w:val="000000"/>
                <w:szCs w:val="24"/>
                <w:lang w:eastAsia="pt-BR"/>
              </w:rPr>
            </w:pPr>
            <w:r w:rsidRPr="005006B6">
              <w:rPr>
                <w:rFonts w:eastAsia="Times New Roman" w:cs="Arial"/>
                <w:b/>
                <w:color w:val="000000"/>
                <w:szCs w:val="24"/>
                <w:lang w:eastAsia="pt-BR"/>
              </w:rPr>
              <w:t xml:space="preserve"> R$ </w:t>
            </w:r>
            <w:r w:rsidR="007E67C1" w:rsidRPr="005006B6">
              <w:rPr>
                <w:rFonts w:eastAsia="Times New Roman" w:cs="Arial"/>
                <w:b/>
                <w:color w:val="000000"/>
                <w:szCs w:val="24"/>
                <w:lang w:eastAsia="pt-BR"/>
              </w:rPr>
              <w:t xml:space="preserve">2.938,59 </w:t>
            </w:r>
          </w:p>
        </w:tc>
      </w:tr>
    </w:tbl>
    <w:p w:rsidR="00821983" w:rsidRDefault="00FE037F" w:rsidP="00FE037F">
      <w:pPr>
        <w:jc w:val="center"/>
      </w:pPr>
      <w:r>
        <w:t>Fonte: Autoria Própria</w:t>
      </w:r>
    </w:p>
    <w:p w:rsidR="00DB227D" w:rsidRDefault="00DB227D" w:rsidP="00821983">
      <w:pPr>
        <w:pStyle w:val="Nvel2-PG"/>
      </w:pPr>
    </w:p>
    <w:p w:rsidR="00821983" w:rsidRDefault="00821983" w:rsidP="00821983">
      <w:pPr>
        <w:pStyle w:val="Nvel2-PG"/>
      </w:pPr>
      <w:bookmarkStart w:id="183" w:name="_Toc488678383"/>
      <w:r>
        <w:t>5.2 Estimativa de custos</w:t>
      </w:r>
      <w:bookmarkEnd w:id="183"/>
    </w:p>
    <w:p w:rsidR="00C91A0F" w:rsidRPr="00C91A0F" w:rsidRDefault="00D60C77" w:rsidP="00C91A0F">
      <w:r>
        <w:t>Para ambos os casos</w:t>
      </w:r>
      <w:r w:rsidR="007E4ADD">
        <w:t>, estima-se o valor do polímero e os custos de logística referentes ao transport</w:t>
      </w:r>
      <w:r>
        <w:t xml:space="preserve">e da matéria-prima </w:t>
      </w:r>
      <w:r w:rsidR="007E4ADD">
        <w:t>até a localização da planta.</w:t>
      </w:r>
      <w:r w:rsidR="00674E9E">
        <w:t xml:space="preserve"> A definição do custo por quilograma de polímero é apresentado na </w:t>
      </w:r>
      <w:r w:rsidR="00923FFA">
        <w:fldChar w:fldCharType="begin"/>
      </w:r>
      <w:r w:rsidR="00923FFA">
        <w:instrText xml:space="preserve"> REF _Ref488278741 \h </w:instrText>
      </w:r>
      <w:r w:rsidR="00923FFA">
        <w:fldChar w:fldCharType="separate"/>
      </w:r>
      <w:r w:rsidR="00C91A0F">
        <w:t xml:space="preserve">Tabela </w:t>
      </w:r>
      <w:r w:rsidR="00C91A0F">
        <w:rPr>
          <w:noProof/>
        </w:rPr>
        <w:t>9</w:t>
      </w:r>
      <w:r w:rsidR="00923FFA">
        <w:fldChar w:fldCharType="end"/>
      </w:r>
      <w:r w:rsidR="00674E9E">
        <w:t>.</w:t>
      </w:r>
    </w:p>
    <w:p w:rsidR="00923FFA" w:rsidRDefault="00923FFA" w:rsidP="00C91A0F">
      <w:pPr>
        <w:pStyle w:val="Tabela-PG"/>
      </w:pPr>
      <w:bookmarkStart w:id="184" w:name="_Ref488278741"/>
      <w:bookmarkStart w:id="185" w:name="_Toc488706090"/>
      <w:r>
        <w:t xml:space="preserve">Tabela </w:t>
      </w:r>
      <w:fldSimple w:instr=" SEQ Tabela \* ARABIC ">
        <w:r w:rsidR="00C91A0F">
          <w:rPr>
            <w:noProof/>
          </w:rPr>
          <w:t>9</w:t>
        </w:r>
      </w:fldSimple>
      <w:bookmarkEnd w:id="184"/>
      <w:r w:rsidR="00DB227D">
        <w:t xml:space="preserve"> - </w:t>
      </w:r>
      <w:r>
        <w:t>Dados de custo com matéria-prima e logística do polímero.</w:t>
      </w:r>
      <w:bookmarkEnd w:id="185"/>
    </w:p>
    <w:tbl>
      <w:tblPr>
        <w:tblW w:w="9072" w:type="dxa"/>
        <w:tblLayout w:type="fixed"/>
        <w:tblCellMar>
          <w:left w:w="70" w:type="dxa"/>
          <w:right w:w="70" w:type="dxa"/>
        </w:tblCellMar>
        <w:tblLook w:val="04A0" w:firstRow="1" w:lastRow="0" w:firstColumn="1" w:lastColumn="0" w:noHBand="0" w:noVBand="1"/>
      </w:tblPr>
      <w:tblGrid>
        <w:gridCol w:w="4536"/>
        <w:gridCol w:w="4536"/>
      </w:tblGrid>
      <w:tr w:rsidR="00674E9E" w:rsidRPr="00674E9E" w:rsidTr="00B57856">
        <w:trPr>
          <w:trHeight w:val="340"/>
        </w:trPr>
        <w:tc>
          <w:tcPr>
            <w:tcW w:w="9072" w:type="dxa"/>
            <w:gridSpan w:val="2"/>
            <w:tcBorders>
              <w:top w:val="single" w:sz="4" w:space="0" w:color="auto"/>
              <w:left w:val="nil"/>
              <w:bottom w:val="single" w:sz="4" w:space="0" w:color="auto"/>
              <w:right w:val="nil"/>
            </w:tcBorders>
            <w:shd w:val="clear" w:color="auto" w:fill="auto"/>
            <w:noWrap/>
            <w:vAlign w:val="center"/>
            <w:hideMark/>
          </w:tcPr>
          <w:p w:rsidR="00674E9E" w:rsidRPr="00674E9E" w:rsidRDefault="00674E9E" w:rsidP="00923FFA">
            <w:pPr>
              <w:spacing w:after="0" w:line="240" w:lineRule="auto"/>
              <w:contextualSpacing w:val="0"/>
              <w:jc w:val="center"/>
              <w:rPr>
                <w:rFonts w:eastAsia="Times New Roman" w:cs="Arial"/>
                <w:b/>
                <w:bCs/>
                <w:i/>
                <w:iCs/>
                <w:color w:val="000000"/>
                <w:szCs w:val="24"/>
                <w:lang w:eastAsia="pt-BR"/>
              </w:rPr>
            </w:pPr>
            <w:r w:rsidRPr="00674E9E">
              <w:rPr>
                <w:rFonts w:eastAsia="Times New Roman" w:cs="Arial"/>
                <w:b/>
                <w:bCs/>
                <w:i/>
                <w:iCs/>
                <w:color w:val="000000"/>
                <w:szCs w:val="24"/>
                <w:lang w:eastAsia="pt-BR"/>
              </w:rPr>
              <w:t>Definição do custo d</w:t>
            </w:r>
            <w:r w:rsidR="00923FFA">
              <w:rPr>
                <w:rFonts w:eastAsia="Times New Roman" w:cs="Arial"/>
                <w:b/>
                <w:bCs/>
                <w:i/>
                <w:iCs/>
                <w:color w:val="000000"/>
                <w:szCs w:val="24"/>
                <w:lang w:eastAsia="pt-BR"/>
              </w:rPr>
              <w:t>o polímero - Goma Guar</w:t>
            </w:r>
          </w:p>
        </w:tc>
      </w:tr>
      <w:tr w:rsidR="00674E9E" w:rsidRPr="00674E9E" w:rsidTr="00B57856">
        <w:trPr>
          <w:trHeight w:val="340"/>
        </w:trPr>
        <w:tc>
          <w:tcPr>
            <w:tcW w:w="4536" w:type="dxa"/>
            <w:tcBorders>
              <w:top w:val="single" w:sz="4" w:space="0" w:color="auto"/>
              <w:left w:val="nil"/>
              <w:bottom w:val="single" w:sz="4" w:space="0" w:color="auto"/>
              <w:right w:val="nil"/>
            </w:tcBorders>
            <w:shd w:val="clear" w:color="auto" w:fill="auto"/>
            <w:noWrap/>
            <w:vAlign w:val="center"/>
            <w:hideMark/>
          </w:tcPr>
          <w:p w:rsidR="00674E9E" w:rsidRPr="00674E9E" w:rsidRDefault="00674E9E" w:rsidP="00674E9E">
            <w:pPr>
              <w:spacing w:after="0" w:line="240" w:lineRule="auto"/>
              <w:contextualSpacing w:val="0"/>
              <w:jc w:val="center"/>
              <w:rPr>
                <w:rFonts w:eastAsia="Times New Roman" w:cs="Arial"/>
                <w:b/>
                <w:bCs/>
                <w:i/>
                <w:iCs/>
                <w:color w:val="000000"/>
                <w:szCs w:val="24"/>
                <w:lang w:eastAsia="pt-BR"/>
              </w:rPr>
            </w:pPr>
            <w:r w:rsidRPr="00674E9E">
              <w:rPr>
                <w:rFonts w:eastAsia="Times New Roman" w:cs="Arial"/>
                <w:b/>
                <w:bCs/>
                <w:i/>
                <w:iCs/>
                <w:color w:val="000000"/>
                <w:szCs w:val="24"/>
                <w:lang w:eastAsia="pt-BR"/>
              </w:rPr>
              <w:t>Descrição</w:t>
            </w:r>
          </w:p>
        </w:tc>
        <w:tc>
          <w:tcPr>
            <w:tcW w:w="4536" w:type="dxa"/>
            <w:tcBorders>
              <w:top w:val="single" w:sz="4" w:space="0" w:color="auto"/>
              <w:left w:val="nil"/>
              <w:bottom w:val="single" w:sz="4" w:space="0" w:color="auto"/>
              <w:right w:val="nil"/>
            </w:tcBorders>
            <w:shd w:val="clear" w:color="auto" w:fill="auto"/>
            <w:noWrap/>
            <w:vAlign w:val="center"/>
            <w:hideMark/>
          </w:tcPr>
          <w:p w:rsidR="00674E9E" w:rsidRPr="00674E9E" w:rsidRDefault="00674E9E" w:rsidP="00674E9E">
            <w:pPr>
              <w:spacing w:after="0" w:line="240" w:lineRule="auto"/>
              <w:contextualSpacing w:val="0"/>
              <w:jc w:val="center"/>
              <w:rPr>
                <w:rFonts w:eastAsia="Times New Roman" w:cs="Arial"/>
                <w:b/>
                <w:bCs/>
                <w:i/>
                <w:iCs/>
                <w:color w:val="000000"/>
                <w:szCs w:val="24"/>
                <w:lang w:eastAsia="pt-BR"/>
              </w:rPr>
            </w:pPr>
            <w:r w:rsidRPr="00674E9E">
              <w:rPr>
                <w:rFonts w:eastAsia="Times New Roman" w:cs="Arial"/>
                <w:b/>
                <w:bCs/>
                <w:i/>
                <w:iCs/>
                <w:color w:val="000000"/>
                <w:szCs w:val="24"/>
                <w:lang w:eastAsia="pt-BR"/>
              </w:rPr>
              <w:t>Valor</w:t>
            </w:r>
          </w:p>
        </w:tc>
      </w:tr>
      <w:tr w:rsidR="00040317" w:rsidRPr="00674E9E" w:rsidTr="00B57856">
        <w:trPr>
          <w:trHeight w:val="340"/>
        </w:trPr>
        <w:tc>
          <w:tcPr>
            <w:tcW w:w="4536" w:type="dxa"/>
            <w:tcBorders>
              <w:top w:val="single" w:sz="4" w:space="0" w:color="auto"/>
              <w:left w:val="nil"/>
              <w:bottom w:val="single" w:sz="4" w:space="0" w:color="auto"/>
              <w:right w:val="nil"/>
            </w:tcBorders>
            <w:shd w:val="clear" w:color="auto" w:fill="auto"/>
            <w:noWrap/>
            <w:vAlign w:val="center"/>
            <w:hideMark/>
          </w:tcPr>
          <w:p w:rsidR="00040317" w:rsidRPr="00674E9E" w:rsidRDefault="00040317" w:rsidP="00040317">
            <w:pPr>
              <w:spacing w:after="0" w:line="240" w:lineRule="auto"/>
              <w:jc w:val="center"/>
              <w:rPr>
                <w:rFonts w:eastAsia="Times New Roman" w:cs="Arial"/>
                <w:color w:val="000000"/>
                <w:szCs w:val="24"/>
                <w:lang w:eastAsia="pt-BR"/>
              </w:rPr>
            </w:pPr>
            <w:r w:rsidRPr="00674E9E">
              <w:rPr>
                <w:rFonts w:eastAsia="Times New Roman" w:cs="Arial"/>
                <w:color w:val="000000"/>
                <w:szCs w:val="24"/>
                <w:lang w:eastAsia="pt-BR"/>
              </w:rPr>
              <w:t>Matéria-prima (US$/kg)</w:t>
            </w:r>
          </w:p>
        </w:tc>
        <w:tc>
          <w:tcPr>
            <w:tcW w:w="4536" w:type="dxa"/>
            <w:tcBorders>
              <w:top w:val="single" w:sz="4" w:space="0" w:color="auto"/>
              <w:left w:val="nil"/>
              <w:bottom w:val="single" w:sz="4" w:space="0" w:color="auto"/>
              <w:right w:val="nil"/>
            </w:tcBorders>
            <w:shd w:val="clear" w:color="000000" w:fill="FFFFFF"/>
            <w:noWrap/>
            <w:vAlign w:val="center"/>
            <w:hideMark/>
          </w:tcPr>
          <w:p w:rsidR="00040317" w:rsidRDefault="00040317" w:rsidP="00CC7A80">
            <w:pPr>
              <w:spacing w:after="0" w:line="240" w:lineRule="auto"/>
              <w:jc w:val="center"/>
              <w:rPr>
                <w:rFonts w:cs="Arial"/>
                <w:color w:val="000000"/>
              </w:rPr>
            </w:pPr>
            <w:r>
              <w:rPr>
                <w:rFonts w:cs="Arial"/>
                <w:color w:val="000000"/>
              </w:rPr>
              <w:t xml:space="preserve"> US$    </w:t>
            </w:r>
            <w:r w:rsidR="00B57856">
              <w:rPr>
                <w:rFonts w:cs="Arial"/>
                <w:color w:val="000000"/>
              </w:rPr>
              <w:t xml:space="preserve"> </w:t>
            </w:r>
            <w:r>
              <w:rPr>
                <w:rFonts w:cs="Arial"/>
                <w:color w:val="000000"/>
              </w:rPr>
              <w:t xml:space="preserve"> 4,97 </w:t>
            </w:r>
          </w:p>
        </w:tc>
      </w:tr>
      <w:tr w:rsidR="00040317" w:rsidRPr="007B6E11" w:rsidTr="00B57856">
        <w:trPr>
          <w:trHeight w:val="340"/>
        </w:trPr>
        <w:tc>
          <w:tcPr>
            <w:tcW w:w="4536" w:type="dxa"/>
            <w:tcBorders>
              <w:top w:val="single" w:sz="4" w:space="0" w:color="auto"/>
              <w:left w:val="nil"/>
              <w:bottom w:val="single" w:sz="4" w:space="0" w:color="auto"/>
              <w:right w:val="nil"/>
            </w:tcBorders>
            <w:shd w:val="clear" w:color="auto" w:fill="auto"/>
            <w:noWrap/>
            <w:vAlign w:val="center"/>
            <w:hideMark/>
          </w:tcPr>
          <w:p w:rsidR="00040317" w:rsidRPr="00674E9E" w:rsidRDefault="00040317" w:rsidP="007B6E11">
            <w:pPr>
              <w:spacing w:after="0" w:line="240" w:lineRule="auto"/>
              <w:jc w:val="center"/>
              <w:rPr>
                <w:rFonts w:eastAsia="Times New Roman" w:cs="Arial"/>
                <w:color w:val="000000"/>
                <w:szCs w:val="24"/>
                <w:lang w:eastAsia="pt-BR"/>
              </w:rPr>
            </w:pPr>
            <w:r w:rsidRPr="00674E9E">
              <w:rPr>
                <w:rFonts w:eastAsia="Times New Roman" w:cs="Arial"/>
                <w:color w:val="000000"/>
                <w:szCs w:val="24"/>
                <w:lang w:eastAsia="pt-BR"/>
              </w:rPr>
              <w:t>Cotação do Dólar (R$)</w:t>
            </w:r>
          </w:p>
        </w:tc>
        <w:tc>
          <w:tcPr>
            <w:tcW w:w="4536" w:type="dxa"/>
            <w:tcBorders>
              <w:top w:val="single" w:sz="4" w:space="0" w:color="auto"/>
              <w:left w:val="nil"/>
              <w:bottom w:val="single" w:sz="4" w:space="0" w:color="auto"/>
              <w:right w:val="nil"/>
            </w:tcBorders>
            <w:shd w:val="clear" w:color="000000" w:fill="FFFFFF"/>
            <w:noWrap/>
            <w:vAlign w:val="center"/>
            <w:hideMark/>
          </w:tcPr>
          <w:p w:rsidR="00040317" w:rsidRPr="007B6E11" w:rsidRDefault="00040317" w:rsidP="00CC7A80">
            <w:pPr>
              <w:spacing w:after="0" w:line="240" w:lineRule="auto"/>
              <w:jc w:val="center"/>
              <w:rPr>
                <w:rFonts w:eastAsia="Times New Roman" w:cs="Arial"/>
                <w:color w:val="000000"/>
                <w:szCs w:val="24"/>
                <w:lang w:eastAsia="pt-BR"/>
              </w:rPr>
            </w:pPr>
            <w:r w:rsidRPr="007B6E11">
              <w:rPr>
                <w:rFonts w:eastAsia="Times New Roman" w:cs="Arial"/>
                <w:color w:val="000000"/>
                <w:szCs w:val="24"/>
                <w:lang w:eastAsia="pt-BR"/>
              </w:rPr>
              <w:t>R$       3,16</w:t>
            </w:r>
          </w:p>
        </w:tc>
      </w:tr>
      <w:tr w:rsidR="00040317" w:rsidRPr="00674E9E" w:rsidTr="00B57856">
        <w:trPr>
          <w:trHeight w:val="340"/>
        </w:trPr>
        <w:tc>
          <w:tcPr>
            <w:tcW w:w="4536" w:type="dxa"/>
            <w:tcBorders>
              <w:top w:val="single" w:sz="4" w:space="0" w:color="auto"/>
              <w:left w:val="nil"/>
              <w:bottom w:val="single" w:sz="4" w:space="0" w:color="auto"/>
              <w:right w:val="nil"/>
            </w:tcBorders>
            <w:shd w:val="clear" w:color="auto" w:fill="auto"/>
            <w:noWrap/>
            <w:vAlign w:val="center"/>
            <w:hideMark/>
          </w:tcPr>
          <w:p w:rsidR="00040317" w:rsidRPr="00674E9E" w:rsidRDefault="00040317" w:rsidP="00040317">
            <w:pPr>
              <w:spacing w:after="0" w:line="240" w:lineRule="auto"/>
              <w:jc w:val="center"/>
              <w:rPr>
                <w:rFonts w:eastAsia="Times New Roman" w:cs="Arial"/>
                <w:color w:val="000000"/>
                <w:szCs w:val="24"/>
                <w:lang w:eastAsia="pt-BR"/>
              </w:rPr>
            </w:pPr>
            <w:r w:rsidRPr="00674E9E">
              <w:rPr>
                <w:rFonts w:eastAsia="Times New Roman" w:cs="Arial"/>
                <w:color w:val="000000"/>
                <w:szCs w:val="24"/>
                <w:lang w:eastAsia="pt-BR"/>
              </w:rPr>
              <w:t>Frete SPO x VIX (R$/ton.)</w:t>
            </w:r>
          </w:p>
        </w:tc>
        <w:tc>
          <w:tcPr>
            <w:tcW w:w="4536" w:type="dxa"/>
            <w:tcBorders>
              <w:top w:val="single" w:sz="4" w:space="0" w:color="auto"/>
              <w:left w:val="nil"/>
              <w:bottom w:val="single" w:sz="4" w:space="0" w:color="auto"/>
              <w:right w:val="nil"/>
            </w:tcBorders>
            <w:shd w:val="clear" w:color="000000" w:fill="FFFFFF"/>
            <w:noWrap/>
            <w:vAlign w:val="center"/>
            <w:hideMark/>
          </w:tcPr>
          <w:p w:rsidR="00040317" w:rsidRDefault="00040317" w:rsidP="00CC7A80">
            <w:pPr>
              <w:spacing w:after="0" w:line="240" w:lineRule="auto"/>
              <w:jc w:val="center"/>
              <w:rPr>
                <w:rFonts w:cs="Arial"/>
                <w:color w:val="000000"/>
              </w:rPr>
            </w:pPr>
            <w:r>
              <w:rPr>
                <w:rFonts w:cs="Arial"/>
                <w:color w:val="000000"/>
              </w:rPr>
              <w:t xml:space="preserve"> R$ 1.420,00 </w:t>
            </w:r>
          </w:p>
        </w:tc>
      </w:tr>
      <w:tr w:rsidR="00040317" w:rsidRPr="005006B6" w:rsidTr="00B57856">
        <w:trPr>
          <w:trHeight w:val="340"/>
        </w:trPr>
        <w:tc>
          <w:tcPr>
            <w:tcW w:w="4536" w:type="dxa"/>
            <w:tcBorders>
              <w:top w:val="single" w:sz="4" w:space="0" w:color="auto"/>
              <w:left w:val="nil"/>
              <w:bottom w:val="single" w:sz="4" w:space="0" w:color="auto"/>
              <w:right w:val="nil"/>
            </w:tcBorders>
            <w:shd w:val="clear" w:color="auto" w:fill="auto"/>
            <w:noWrap/>
            <w:vAlign w:val="center"/>
            <w:hideMark/>
          </w:tcPr>
          <w:p w:rsidR="00040317" w:rsidRPr="005006B6" w:rsidRDefault="00040317" w:rsidP="00040317">
            <w:pPr>
              <w:spacing w:after="0" w:line="240" w:lineRule="auto"/>
              <w:jc w:val="center"/>
              <w:rPr>
                <w:rFonts w:eastAsia="Times New Roman" w:cs="Arial"/>
                <w:b/>
                <w:color w:val="000000"/>
                <w:szCs w:val="24"/>
                <w:lang w:eastAsia="pt-BR"/>
              </w:rPr>
            </w:pPr>
            <w:r w:rsidRPr="005006B6">
              <w:rPr>
                <w:rFonts w:eastAsia="Times New Roman" w:cs="Arial"/>
                <w:b/>
                <w:color w:val="000000"/>
                <w:szCs w:val="24"/>
                <w:lang w:eastAsia="pt-BR"/>
              </w:rPr>
              <w:t>Preço (R$/kg)</w:t>
            </w:r>
          </w:p>
        </w:tc>
        <w:tc>
          <w:tcPr>
            <w:tcW w:w="4536" w:type="dxa"/>
            <w:tcBorders>
              <w:top w:val="single" w:sz="4" w:space="0" w:color="auto"/>
              <w:left w:val="nil"/>
              <w:bottom w:val="single" w:sz="4" w:space="0" w:color="auto"/>
              <w:right w:val="nil"/>
            </w:tcBorders>
            <w:shd w:val="clear" w:color="000000" w:fill="FFFFFF"/>
            <w:noWrap/>
            <w:vAlign w:val="center"/>
            <w:hideMark/>
          </w:tcPr>
          <w:p w:rsidR="00040317" w:rsidRDefault="007B6E11" w:rsidP="00CC7A80">
            <w:pPr>
              <w:spacing w:after="0" w:line="240" w:lineRule="auto"/>
              <w:jc w:val="center"/>
              <w:rPr>
                <w:rFonts w:cs="Arial"/>
                <w:color w:val="000000"/>
              </w:rPr>
            </w:pPr>
            <w:r>
              <w:rPr>
                <w:rFonts w:cs="Arial"/>
                <w:color w:val="000000"/>
              </w:rPr>
              <w:t xml:space="preserve"> R$      17,13</w:t>
            </w:r>
            <w:r w:rsidR="00040317">
              <w:rPr>
                <w:rFonts w:cs="Arial"/>
                <w:color w:val="000000"/>
              </w:rPr>
              <w:t xml:space="preserve"> </w:t>
            </w:r>
          </w:p>
        </w:tc>
      </w:tr>
    </w:tbl>
    <w:p w:rsidR="00C91A0F" w:rsidRPr="00C91A0F" w:rsidRDefault="00C91A0F" w:rsidP="00C91A0F">
      <w:pPr>
        <w:jc w:val="center"/>
      </w:pPr>
      <w:r w:rsidRPr="00C91A0F">
        <w:t>Fonte: Autoria Própria</w:t>
      </w:r>
    </w:p>
    <w:p w:rsidR="005006B6" w:rsidRDefault="00B100A1" w:rsidP="00B100A1">
      <w:r>
        <w:t xml:space="preserve">Para o </w:t>
      </w:r>
      <w:r w:rsidR="001153BC">
        <w:t xml:space="preserve">caso </w:t>
      </w:r>
      <w:r>
        <w:t xml:space="preserve">completo, estima-se que a planta necessite de </w:t>
      </w:r>
      <w:r w:rsidR="00BA081B" w:rsidRPr="007C0A7C">
        <w:t xml:space="preserve">uma bomba dosadora </w:t>
      </w:r>
      <w:r>
        <w:t xml:space="preserve">que realize a </w:t>
      </w:r>
      <w:r w:rsidR="00BA081B" w:rsidRPr="007C0A7C">
        <w:t>injeção da solução concentrada no escoamento</w:t>
      </w:r>
      <w:r>
        <w:t>,</w:t>
      </w:r>
      <w:r w:rsidR="00BA081B" w:rsidRPr="007C0A7C">
        <w:t xml:space="preserve"> um reservatório para a </w:t>
      </w:r>
      <w:r w:rsidR="00BA081B" w:rsidRPr="007C0A7C">
        <w:lastRenderedPageBreak/>
        <w:t>preparação e armazena</w:t>
      </w:r>
      <w:r>
        <w:t>mento da solução a ser injetada,</w:t>
      </w:r>
      <w:r w:rsidR="00BA081B" w:rsidRPr="007C0A7C">
        <w:t xml:space="preserve"> uma balança analítica para a pesagem </w:t>
      </w:r>
      <w:r>
        <w:t>precisa</w:t>
      </w:r>
      <w:r w:rsidR="00BA081B" w:rsidRPr="007C0A7C">
        <w:t xml:space="preserve"> do aditivo</w:t>
      </w:r>
      <w:r w:rsidR="00FF33BA">
        <w:t xml:space="preserve"> e um computador para o acompanhamento e controle das atividades</w:t>
      </w:r>
      <w:r w:rsidR="00BA081B" w:rsidRPr="007C0A7C">
        <w:t>.</w:t>
      </w:r>
      <w:r>
        <w:t xml:space="preserve"> O custo mais expressivo consiste na construção de um setor específico para a instalação, operação e armazenagem da matéria-prima aditiva. Uma área de 20 m² foi considerada suficiente para suprir as necessidades do projeto</w:t>
      </w:r>
      <w:r w:rsidR="00310781">
        <w:t>, representeando cerca de 70% dos custos fixos</w:t>
      </w:r>
      <w:r>
        <w:t>.</w:t>
      </w:r>
      <w:r w:rsidR="00FF33BA">
        <w:t xml:space="preserve"> A </w:t>
      </w:r>
      <w:r w:rsidR="005006B6">
        <w:fldChar w:fldCharType="begin"/>
      </w:r>
      <w:r w:rsidR="005006B6">
        <w:instrText xml:space="preserve"> REF _Ref488280059 \h </w:instrText>
      </w:r>
      <w:r w:rsidR="005006B6">
        <w:fldChar w:fldCharType="separate"/>
      </w:r>
      <w:r w:rsidR="00C91A0F">
        <w:t xml:space="preserve">Tabela </w:t>
      </w:r>
      <w:r w:rsidR="00C91A0F">
        <w:rPr>
          <w:noProof/>
        </w:rPr>
        <w:t>10</w:t>
      </w:r>
      <w:r w:rsidR="005006B6">
        <w:fldChar w:fldCharType="end"/>
      </w:r>
      <w:r w:rsidR="005006B6">
        <w:t xml:space="preserve"> </w:t>
      </w:r>
      <w:r w:rsidR="00FF33BA">
        <w:t>informa os custos fixos estimados para cada item supracitado.</w:t>
      </w:r>
    </w:p>
    <w:p w:rsidR="005006B6" w:rsidRDefault="005006B6" w:rsidP="00C91A0F">
      <w:pPr>
        <w:pStyle w:val="Tabela-PG"/>
      </w:pPr>
      <w:bookmarkStart w:id="186" w:name="_Ref488280059"/>
      <w:bookmarkStart w:id="187" w:name="_Toc488706091"/>
      <w:r>
        <w:t xml:space="preserve">Tabela </w:t>
      </w:r>
      <w:fldSimple w:instr=" SEQ Tabela \* ARABIC ">
        <w:r w:rsidR="00C91A0F">
          <w:rPr>
            <w:noProof/>
          </w:rPr>
          <w:t>10</w:t>
        </w:r>
      </w:fldSimple>
      <w:bookmarkEnd w:id="186"/>
      <w:r w:rsidR="00DB227D">
        <w:t xml:space="preserve"> - </w:t>
      </w:r>
      <w:r>
        <w:t>Definição dos custos fixos do projeto.</w:t>
      </w:r>
      <w:bookmarkEnd w:id="187"/>
    </w:p>
    <w:tbl>
      <w:tblPr>
        <w:tblW w:w="9072" w:type="dxa"/>
        <w:tblCellMar>
          <w:left w:w="70" w:type="dxa"/>
          <w:right w:w="70" w:type="dxa"/>
        </w:tblCellMar>
        <w:tblLook w:val="04A0" w:firstRow="1" w:lastRow="0" w:firstColumn="1" w:lastColumn="0" w:noHBand="0" w:noVBand="1"/>
      </w:tblPr>
      <w:tblGrid>
        <w:gridCol w:w="4856"/>
        <w:gridCol w:w="2374"/>
        <w:gridCol w:w="1842"/>
      </w:tblGrid>
      <w:tr w:rsidR="005006B6" w:rsidRPr="005006B6" w:rsidTr="00B57856">
        <w:trPr>
          <w:trHeight w:val="340"/>
        </w:trPr>
        <w:tc>
          <w:tcPr>
            <w:tcW w:w="9072" w:type="dxa"/>
            <w:gridSpan w:val="3"/>
            <w:tcBorders>
              <w:top w:val="single" w:sz="4" w:space="0" w:color="auto"/>
              <w:left w:val="nil"/>
              <w:bottom w:val="single" w:sz="4" w:space="0" w:color="auto"/>
              <w:right w:val="nil"/>
            </w:tcBorders>
            <w:shd w:val="clear" w:color="auto" w:fill="auto"/>
            <w:noWrap/>
            <w:vAlign w:val="center"/>
            <w:hideMark/>
          </w:tcPr>
          <w:p w:rsidR="005006B6" w:rsidRPr="005006B6" w:rsidRDefault="005006B6" w:rsidP="005E7B36">
            <w:pPr>
              <w:spacing w:after="0" w:line="240" w:lineRule="auto"/>
              <w:contextualSpacing w:val="0"/>
              <w:jc w:val="center"/>
              <w:rPr>
                <w:rFonts w:eastAsia="Times New Roman" w:cs="Arial"/>
                <w:b/>
                <w:bCs/>
                <w:i/>
                <w:iCs/>
                <w:color w:val="000000"/>
                <w:szCs w:val="24"/>
                <w:lang w:eastAsia="pt-BR"/>
              </w:rPr>
            </w:pPr>
            <w:r w:rsidRPr="005006B6">
              <w:rPr>
                <w:rFonts w:eastAsia="Times New Roman" w:cs="Arial"/>
                <w:b/>
                <w:bCs/>
                <w:i/>
                <w:iCs/>
                <w:color w:val="000000"/>
                <w:szCs w:val="24"/>
                <w:lang w:eastAsia="pt-BR"/>
              </w:rPr>
              <w:t>Definição dos custos fixos</w:t>
            </w:r>
          </w:p>
        </w:tc>
      </w:tr>
      <w:tr w:rsidR="005006B6" w:rsidRPr="005006B6" w:rsidTr="00B57856">
        <w:trPr>
          <w:trHeight w:val="340"/>
        </w:trPr>
        <w:tc>
          <w:tcPr>
            <w:tcW w:w="4856" w:type="dxa"/>
            <w:tcBorders>
              <w:top w:val="single" w:sz="4" w:space="0" w:color="auto"/>
              <w:left w:val="nil"/>
              <w:bottom w:val="single" w:sz="4" w:space="0" w:color="auto"/>
              <w:right w:val="nil"/>
            </w:tcBorders>
            <w:shd w:val="clear" w:color="auto" w:fill="auto"/>
            <w:noWrap/>
            <w:vAlign w:val="center"/>
            <w:hideMark/>
          </w:tcPr>
          <w:p w:rsidR="005006B6" w:rsidRPr="005006B6" w:rsidRDefault="005006B6" w:rsidP="005E7B36">
            <w:pPr>
              <w:spacing w:after="0" w:line="240" w:lineRule="auto"/>
              <w:contextualSpacing w:val="0"/>
              <w:jc w:val="center"/>
              <w:rPr>
                <w:rFonts w:eastAsia="Times New Roman" w:cs="Arial"/>
                <w:b/>
                <w:bCs/>
                <w:i/>
                <w:iCs/>
                <w:color w:val="000000"/>
                <w:szCs w:val="24"/>
                <w:lang w:eastAsia="pt-BR"/>
              </w:rPr>
            </w:pPr>
            <w:r w:rsidRPr="005006B6">
              <w:rPr>
                <w:rFonts w:eastAsia="Times New Roman" w:cs="Arial"/>
                <w:b/>
                <w:bCs/>
                <w:i/>
                <w:iCs/>
                <w:color w:val="000000"/>
                <w:szCs w:val="24"/>
                <w:lang w:eastAsia="pt-BR"/>
              </w:rPr>
              <w:t>Descrição</w:t>
            </w:r>
          </w:p>
        </w:tc>
        <w:tc>
          <w:tcPr>
            <w:tcW w:w="2374" w:type="dxa"/>
            <w:tcBorders>
              <w:top w:val="single" w:sz="4" w:space="0" w:color="auto"/>
              <w:left w:val="nil"/>
              <w:bottom w:val="single" w:sz="4" w:space="0" w:color="auto"/>
              <w:right w:val="nil"/>
            </w:tcBorders>
            <w:shd w:val="clear" w:color="auto" w:fill="auto"/>
            <w:noWrap/>
            <w:vAlign w:val="center"/>
            <w:hideMark/>
          </w:tcPr>
          <w:p w:rsidR="005006B6" w:rsidRPr="005006B6" w:rsidRDefault="005006B6" w:rsidP="005E7B36">
            <w:pPr>
              <w:spacing w:after="0" w:line="240" w:lineRule="auto"/>
              <w:contextualSpacing w:val="0"/>
              <w:jc w:val="center"/>
              <w:rPr>
                <w:rFonts w:eastAsia="Times New Roman" w:cs="Arial"/>
                <w:b/>
                <w:bCs/>
                <w:i/>
                <w:iCs/>
                <w:color w:val="000000"/>
                <w:szCs w:val="24"/>
                <w:lang w:eastAsia="pt-BR"/>
              </w:rPr>
            </w:pPr>
            <w:r w:rsidRPr="005006B6">
              <w:rPr>
                <w:rFonts w:eastAsia="Times New Roman" w:cs="Arial"/>
                <w:b/>
                <w:bCs/>
                <w:i/>
                <w:iCs/>
                <w:color w:val="000000"/>
                <w:szCs w:val="24"/>
                <w:lang w:eastAsia="pt-BR"/>
              </w:rPr>
              <w:t>Valor</w:t>
            </w:r>
          </w:p>
        </w:tc>
        <w:tc>
          <w:tcPr>
            <w:tcW w:w="1842" w:type="dxa"/>
            <w:tcBorders>
              <w:top w:val="single" w:sz="4" w:space="0" w:color="auto"/>
              <w:left w:val="nil"/>
              <w:bottom w:val="single" w:sz="4" w:space="0" w:color="auto"/>
              <w:right w:val="nil"/>
            </w:tcBorders>
            <w:shd w:val="clear" w:color="auto" w:fill="auto"/>
            <w:noWrap/>
            <w:vAlign w:val="center"/>
            <w:hideMark/>
          </w:tcPr>
          <w:p w:rsidR="005006B6" w:rsidRPr="005006B6" w:rsidRDefault="005006B6" w:rsidP="005E7B36">
            <w:pPr>
              <w:spacing w:after="0" w:line="240" w:lineRule="auto"/>
              <w:contextualSpacing w:val="0"/>
              <w:jc w:val="center"/>
              <w:rPr>
                <w:rFonts w:eastAsia="Times New Roman" w:cs="Arial"/>
                <w:b/>
                <w:bCs/>
                <w:i/>
                <w:iCs/>
                <w:color w:val="000000"/>
                <w:szCs w:val="24"/>
                <w:lang w:eastAsia="pt-BR"/>
              </w:rPr>
            </w:pPr>
            <w:r w:rsidRPr="005006B6">
              <w:rPr>
                <w:rFonts w:eastAsia="Times New Roman" w:cs="Arial"/>
                <w:b/>
                <w:bCs/>
                <w:i/>
                <w:iCs/>
                <w:color w:val="000000"/>
                <w:szCs w:val="24"/>
                <w:lang w:eastAsia="pt-BR"/>
              </w:rPr>
              <w:t>Percentual</w:t>
            </w:r>
          </w:p>
        </w:tc>
      </w:tr>
      <w:tr w:rsidR="005006B6" w:rsidRPr="005006B6" w:rsidTr="00B57856">
        <w:trPr>
          <w:trHeight w:val="340"/>
        </w:trPr>
        <w:tc>
          <w:tcPr>
            <w:tcW w:w="4856" w:type="dxa"/>
            <w:tcBorders>
              <w:top w:val="single" w:sz="4" w:space="0" w:color="auto"/>
              <w:left w:val="nil"/>
              <w:bottom w:val="single" w:sz="4" w:space="0" w:color="auto"/>
              <w:right w:val="nil"/>
            </w:tcBorders>
            <w:shd w:val="clear" w:color="auto" w:fill="auto"/>
            <w:noWrap/>
            <w:vAlign w:val="center"/>
            <w:hideMark/>
          </w:tcPr>
          <w:p w:rsidR="005006B6" w:rsidRPr="005006B6" w:rsidRDefault="005006B6" w:rsidP="005E7B36">
            <w:pPr>
              <w:spacing w:after="0" w:line="240" w:lineRule="auto"/>
              <w:contextualSpacing w:val="0"/>
              <w:jc w:val="center"/>
              <w:rPr>
                <w:rFonts w:eastAsia="Times New Roman" w:cs="Arial"/>
                <w:color w:val="000000"/>
                <w:szCs w:val="24"/>
                <w:lang w:eastAsia="pt-BR"/>
              </w:rPr>
            </w:pPr>
            <w:r w:rsidRPr="005006B6">
              <w:rPr>
                <w:rFonts w:eastAsia="Times New Roman" w:cs="Arial"/>
                <w:color w:val="000000"/>
                <w:szCs w:val="24"/>
                <w:lang w:eastAsia="pt-BR"/>
              </w:rPr>
              <w:t>Área de 20m² construídos</w:t>
            </w:r>
          </w:p>
        </w:tc>
        <w:tc>
          <w:tcPr>
            <w:tcW w:w="2374" w:type="dxa"/>
            <w:tcBorders>
              <w:top w:val="single" w:sz="4" w:space="0" w:color="auto"/>
              <w:left w:val="nil"/>
              <w:bottom w:val="single" w:sz="4" w:space="0" w:color="auto"/>
              <w:right w:val="nil"/>
            </w:tcBorders>
            <w:shd w:val="clear" w:color="auto" w:fill="auto"/>
            <w:noWrap/>
            <w:vAlign w:val="center"/>
            <w:hideMark/>
          </w:tcPr>
          <w:p w:rsidR="005006B6" w:rsidRPr="005006B6" w:rsidRDefault="005006B6" w:rsidP="005006B6">
            <w:pPr>
              <w:spacing w:after="0" w:line="240" w:lineRule="auto"/>
              <w:contextualSpacing w:val="0"/>
              <w:jc w:val="center"/>
              <w:rPr>
                <w:rFonts w:eastAsia="Times New Roman" w:cs="Arial"/>
                <w:color w:val="000000"/>
                <w:szCs w:val="24"/>
                <w:lang w:eastAsia="pt-BR"/>
              </w:rPr>
            </w:pPr>
            <w:r w:rsidRPr="005006B6">
              <w:rPr>
                <w:rFonts w:eastAsia="Times New Roman" w:cs="Arial"/>
                <w:color w:val="000000"/>
                <w:szCs w:val="24"/>
                <w:lang w:eastAsia="pt-BR"/>
              </w:rPr>
              <w:t xml:space="preserve"> </w:t>
            </w:r>
            <w:r>
              <w:rPr>
                <w:rFonts w:eastAsia="Times New Roman" w:cs="Arial"/>
                <w:color w:val="000000"/>
                <w:szCs w:val="24"/>
                <w:lang w:eastAsia="pt-BR"/>
              </w:rPr>
              <w:t>R</w:t>
            </w:r>
            <w:r w:rsidRPr="005006B6">
              <w:rPr>
                <w:rFonts w:eastAsia="Times New Roman" w:cs="Arial"/>
                <w:color w:val="000000"/>
                <w:szCs w:val="24"/>
                <w:lang w:eastAsia="pt-BR"/>
              </w:rPr>
              <w:t xml:space="preserve">$ 14.000,00 </w:t>
            </w:r>
          </w:p>
        </w:tc>
        <w:tc>
          <w:tcPr>
            <w:tcW w:w="1842" w:type="dxa"/>
            <w:tcBorders>
              <w:top w:val="single" w:sz="4" w:space="0" w:color="auto"/>
              <w:left w:val="nil"/>
              <w:bottom w:val="single" w:sz="4" w:space="0" w:color="auto"/>
              <w:right w:val="nil"/>
            </w:tcBorders>
            <w:shd w:val="clear" w:color="auto" w:fill="auto"/>
            <w:noWrap/>
            <w:vAlign w:val="center"/>
            <w:hideMark/>
          </w:tcPr>
          <w:p w:rsidR="005006B6" w:rsidRPr="005006B6" w:rsidRDefault="005006B6" w:rsidP="005E7B36">
            <w:pPr>
              <w:spacing w:after="0" w:line="240" w:lineRule="auto"/>
              <w:contextualSpacing w:val="0"/>
              <w:jc w:val="center"/>
              <w:rPr>
                <w:rFonts w:eastAsia="Times New Roman" w:cs="Arial"/>
                <w:color w:val="000000"/>
                <w:szCs w:val="24"/>
                <w:lang w:eastAsia="pt-BR"/>
              </w:rPr>
            </w:pPr>
            <w:r w:rsidRPr="005006B6">
              <w:rPr>
                <w:rFonts w:eastAsia="Times New Roman" w:cs="Arial"/>
                <w:color w:val="000000"/>
                <w:szCs w:val="24"/>
                <w:lang w:eastAsia="pt-BR"/>
              </w:rPr>
              <w:t>70,36%</w:t>
            </w:r>
          </w:p>
        </w:tc>
      </w:tr>
      <w:tr w:rsidR="005006B6" w:rsidRPr="005006B6" w:rsidTr="00B57856">
        <w:trPr>
          <w:trHeight w:val="340"/>
        </w:trPr>
        <w:tc>
          <w:tcPr>
            <w:tcW w:w="4856" w:type="dxa"/>
            <w:tcBorders>
              <w:top w:val="single" w:sz="4" w:space="0" w:color="auto"/>
              <w:left w:val="nil"/>
              <w:bottom w:val="single" w:sz="4" w:space="0" w:color="auto"/>
              <w:right w:val="nil"/>
            </w:tcBorders>
            <w:shd w:val="clear" w:color="auto" w:fill="auto"/>
            <w:noWrap/>
            <w:vAlign w:val="center"/>
            <w:hideMark/>
          </w:tcPr>
          <w:p w:rsidR="005006B6" w:rsidRPr="005006B6" w:rsidRDefault="005006B6" w:rsidP="005E7B36">
            <w:pPr>
              <w:spacing w:after="0" w:line="240" w:lineRule="auto"/>
              <w:contextualSpacing w:val="0"/>
              <w:jc w:val="center"/>
              <w:rPr>
                <w:rFonts w:eastAsia="Times New Roman" w:cs="Arial"/>
                <w:color w:val="000000"/>
                <w:szCs w:val="24"/>
                <w:lang w:eastAsia="pt-BR"/>
              </w:rPr>
            </w:pPr>
            <w:r w:rsidRPr="005006B6">
              <w:rPr>
                <w:rFonts w:eastAsia="Times New Roman" w:cs="Arial"/>
                <w:color w:val="000000"/>
                <w:szCs w:val="24"/>
                <w:lang w:eastAsia="pt-BR"/>
              </w:rPr>
              <w:t>Balança analítica</w:t>
            </w:r>
          </w:p>
        </w:tc>
        <w:tc>
          <w:tcPr>
            <w:tcW w:w="2374" w:type="dxa"/>
            <w:tcBorders>
              <w:top w:val="single" w:sz="4" w:space="0" w:color="auto"/>
              <w:left w:val="nil"/>
              <w:bottom w:val="single" w:sz="4" w:space="0" w:color="auto"/>
              <w:right w:val="nil"/>
            </w:tcBorders>
            <w:shd w:val="clear" w:color="auto" w:fill="auto"/>
            <w:noWrap/>
            <w:vAlign w:val="center"/>
            <w:hideMark/>
          </w:tcPr>
          <w:p w:rsidR="005006B6" w:rsidRPr="005006B6" w:rsidRDefault="005006B6" w:rsidP="005006B6">
            <w:pPr>
              <w:spacing w:after="0" w:line="240" w:lineRule="auto"/>
              <w:contextualSpacing w:val="0"/>
              <w:jc w:val="center"/>
              <w:rPr>
                <w:rFonts w:eastAsia="Times New Roman" w:cs="Arial"/>
                <w:color w:val="000000"/>
                <w:szCs w:val="24"/>
                <w:lang w:eastAsia="pt-BR"/>
              </w:rPr>
            </w:pPr>
            <w:r>
              <w:rPr>
                <w:rFonts w:eastAsia="Times New Roman" w:cs="Arial"/>
                <w:color w:val="000000"/>
                <w:szCs w:val="24"/>
                <w:lang w:eastAsia="pt-BR"/>
              </w:rPr>
              <w:t xml:space="preserve"> R$   </w:t>
            </w:r>
            <w:r w:rsidRPr="005006B6">
              <w:rPr>
                <w:rFonts w:eastAsia="Times New Roman" w:cs="Arial"/>
                <w:color w:val="000000"/>
                <w:szCs w:val="24"/>
                <w:lang w:eastAsia="pt-BR"/>
              </w:rPr>
              <w:t xml:space="preserve">2.512,00 </w:t>
            </w:r>
          </w:p>
        </w:tc>
        <w:tc>
          <w:tcPr>
            <w:tcW w:w="1842" w:type="dxa"/>
            <w:tcBorders>
              <w:top w:val="single" w:sz="4" w:space="0" w:color="auto"/>
              <w:left w:val="nil"/>
              <w:bottom w:val="single" w:sz="4" w:space="0" w:color="auto"/>
              <w:right w:val="nil"/>
            </w:tcBorders>
            <w:shd w:val="clear" w:color="auto" w:fill="auto"/>
            <w:noWrap/>
            <w:vAlign w:val="center"/>
            <w:hideMark/>
          </w:tcPr>
          <w:p w:rsidR="005006B6" w:rsidRPr="005006B6" w:rsidRDefault="005006B6" w:rsidP="005E7B36">
            <w:pPr>
              <w:spacing w:after="0" w:line="240" w:lineRule="auto"/>
              <w:contextualSpacing w:val="0"/>
              <w:jc w:val="center"/>
              <w:rPr>
                <w:rFonts w:eastAsia="Times New Roman" w:cs="Arial"/>
                <w:color w:val="000000"/>
                <w:szCs w:val="24"/>
                <w:lang w:eastAsia="pt-BR"/>
              </w:rPr>
            </w:pPr>
            <w:r w:rsidRPr="005006B6">
              <w:rPr>
                <w:rFonts w:eastAsia="Times New Roman" w:cs="Arial"/>
                <w:color w:val="000000"/>
                <w:szCs w:val="24"/>
                <w:lang w:eastAsia="pt-BR"/>
              </w:rPr>
              <w:t>12,62%</w:t>
            </w:r>
          </w:p>
        </w:tc>
      </w:tr>
      <w:tr w:rsidR="005006B6" w:rsidRPr="005006B6" w:rsidTr="00B57856">
        <w:trPr>
          <w:trHeight w:val="340"/>
        </w:trPr>
        <w:tc>
          <w:tcPr>
            <w:tcW w:w="4856" w:type="dxa"/>
            <w:tcBorders>
              <w:top w:val="single" w:sz="4" w:space="0" w:color="auto"/>
              <w:left w:val="nil"/>
              <w:bottom w:val="single" w:sz="4" w:space="0" w:color="auto"/>
              <w:right w:val="nil"/>
            </w:tcBorders>
            <w:shd w:val="clear" w:color="auto" w:fill="auto"/>
            <w:noWrap/>
            <w:vAlign w:val="center"/>
            <w:hideMark/>
          </w:tcPr>
          <w:p w:rsidR="005006B6" w:rsidRPr="005006B6" w:rsidRDefault="005006B6" w:rsidP="005E7B36">
            <w:pPr>
              <w:spacing w:after="0" w:line="240" w:lineRule="auto"/>
              <w:contextualSpacing w:val="0"/>
              <w:jc w:val="center"/>
              <w:rPr>
                <w:rFonts w:eastAsia="Times New Roman" w:cs="Arial"/>
                <w:color w:val="000000"/>
                <w:szCs w:val="24"/>
                <w:lang w:eastAsia="pt-BR"/>
              </w:rPr>
            </w:pPr>
            <w:r w:rsidRPr="005006B6">
              <w:rPr>
                <w:rFonts w:eastAsia="Times New Roman" w:cs="Arial"/>
                <w:color w:val="000000"/>
                <w:szCs w:val="24"/>
                <w:lang w:eastAsia="pt-BR"/>
              </w:rPr>
              <w:t>Computador básico</w:t>
            </w:r>
          </w:p>
        </w:tc>
        <w:tc>
          <w:tcPr>
            <w:tcW w:w="2374" w:type="dxa"/>
            <w:tcBorders>
              <w:top w:val="single" w:sz="4" w:space="0" w:color="auto"/>
              <w:left w:val="nil"/>
              <w:bottom w:val="single" w:sz="4" w:space="0" w:color="auto"/>
              <w:right w:val="nil"/>
            </w:tcBorders>
            <w:shd w:val="clear" w:color="auto" w:fill="auto"/>
            <w:noWrap/>
            <w:vAlign w:val="center"/>
            <w:hideMark/>
          </w:tcPr>
          <w:p w:rsidR="005006B6" w:rsidRPr="005006B6" w:rsidRDefault="005006B6" w:rsidP="005006B6">
            <w:pPr>
              <w:spacing w:after="0" w:line="240" w:lineRule="auto"/>
              <w:contextualSpacing w:val="0"/>
              <w:jc w:val="center"/>
              <w:rPr>
                <w:rFonts w:eastAsia="Times New Roman" w:cs="Arial"/>
                <w:color w:val="000000"/>
                <w:szCs w:val="24"/>
                <w:lang w:eastAsia="pt-BR"/>
              </w:rPr>
            </w:pPr>
            <w:r w:rsidRPr="005006B6">
              <w:rPr>
                <w:rFonts w:eastAsia="Times New Roman" w:cs="Arial"/>
                <w:color w:val="000000"/>
                <w:szCs w:val="24"/>
                <w:lang w:eastAsia="pt-BR"/>
              </w:rPr>
              <w:t xml:space="preserve"> R$  </w:t>
            </w:r>
            <w:r>
              <w:rPr>
                <w:rFonts w:eastAsia="Times New Roman" w:cs="Arial"/>
                <w:color w:val="000000"/>
                <w:szCs w:val="24"/>
                <w:lang w:eastAsia="pt-BR"/>
              </w:rPr>
              <w:t xml:space="preserve"> </w:t>
            </w:r>
            <w:r w:rsidRPr="005006B6">
              <w:rPr>
                <w:rFonts w:eastAsia="Times New Roman" w:cs="Arial"/>
                <w:color w:val="000000"/>
                <w:szCs w:val="24"/>
                <w:lang w:eastAsia="pt-BR"/>
              </w:rPr>
              <w:t xml:space="preserve">1.812,00 </w:t>
            </w:r>
          </w:p>
        </w:tc>
        <w:tc>
          <w:tcPr>
            <w:tcW w:w="1842" w:type="dxa"/>
            <w:tcBorders>
              <w:top w:val="single" w:sz="4" w:space="0" w:color="auto"/>
              <w:left w:val="nil"/>
              <w:bottom w:val="single" w:sz="4" w:space="0" w:color="auto"/>
              <w:right w:val="nil"/>
            </w:tcBorders>
            <w:shd w:val="clear" w:color="auto" w:fill="auto"/>
            <w:noWrap/>
            <w:vAlign w:val="center"/>
            <w:hideMark/>
          </w:tcPr>
          <w:p w:rsidR="005006B6" w:rsidRPr="005006B6" w:rsidRDefault="005006B6" w:rsidP="005E7B36">
            <w:pPr>
              <w:spacing w:after="0" w:line="240" w:lineRule="auto"/>
              <w:contextualSpacing w:val="0"/>
              <w:jc w:val="center"/>
              <w:rPr>
                <w:rFonts w:eastAsia="Times New Roman" w:cs="Arial"/>
                <w:color w:val="000000"/>
                <w:szCs w:val="24"/>
                <w:lang w:eastAsia="pt-BR"/>
              </w:rPr>
            </w:pPr>
            <w:r w:rsidRPr="005006B6">
              <w:rPr>
                <w:rFonts w:eastAsia="Times New Roman" w:cs="Arial"/>
                <w:color w:val="000000"/>
                <w:szCs w:val="24"/>
                <w:lang w:eastAsia="pt-BR"/>
              </w:rPr>
              <w:t>9,11%</w:t>
            </w:r>
          </w:p>
        </w:tc>
      </w:tr>
      <w:tr w:rsidR="005006B6" w:rsidRPr="005006B6" w:rsidTr="00B57856">
        <w:trPr>
          <w:trHeight w:val="340"/>
        </w:trPr>
        <w:tc>
          <w:tcPr>
            <w:tcW w:w="4856" w:type="dxa"/>
            <w:tcBorders>
              <w:top w:val="single" w:sz="4" w:space="0" w:color="auto"/>
              <w:left w:val="nil"/>
              <w:bottom w:val="single" w:sz="4" w:space="0" w:color="auto"/>
              <w:right w:val="nil"/>
            </w:tcBorders>
            <w:shd w:val="clear" w:color="auto" w:fill="auto"/>
            <w:noWrap/>
            <w:vAlign w:val="center"/>
            <w:hideMark/>
          </w:tcPr>
          <w:p w:rsidR="005006B6" w:rsidRPr="005006B6" w:rsidRDefault="005006B6" w:rsidP="005E7B36">
            <w:pPr>
              <w:spacing w:after="0" w:line="240" w:lineRule="auto"/>
              <w:contextualSpacing w:val="0"/>
              <w:jc w:val="center"/>
              <w:rPr>
                <w:rFonts w:eastAsia="Times New Roman" w:cs="Arial"/>
                <w:color w:val="000000"/>
                <w:szCs w:val="24"/>
                <w:lang w:eastAsia="pt-BR"/>
              </w:rPr>
            </w:pPr>
            <w:r w:rsidRPr="005006B6">
              <w:rPr>
                <w:rFonts w:eastAsia="Times New Roman" w:cs="Arial"/>
                <w:color w:val="000000"/>
                <w:szCs w:val="24"/>
                <w:lang w:eastAsia="pt-BR"/>
              </w:rPr>
              <w:t>Reservatório 1000 L</w:t>
            </w:r>
          </w:p>
        </w:tc>
        <w:tc>
          <w:tcPr>
            <w:tcW w:w="2374" w:type="dxa"/>
            <w:tcBorders>
              <w:top w:val="single" w:sz="4" w:space="0" w:color="auto"/>
              <w:left w:val="nil"/>
              <w:bottom w:val="single" w:sz="4" w:space="0" w:color="auto"/>
              <w:right w:val="nil"/>
            </w:tcBorders>
            <w:shd w:val="clear" w:color="auto" w:fill="auto"/>
            <w:noWrap/>
            <w:vAlign w:val="center"/>
            <w:hideMark/>
          </w:tcPr>
          <w:p w:rsidR="005006B6" w:rsidRPr="005006B6" w:rsidRDefault="005006B6" w:rsidP="005006B6">
            <w:pPr>
              <w:spacing w:after="0" w:line="240" w:lineRule="auto"/>
              <w:contextualSpacing w:val="0"/>
              <w:jc w:val="center"/>
              <w:rPr>
                <w:rFonts w:eastAsia="Times New Roman" w:cs="Arial"/>
                <w:color w:val="000000"/>
                <w:szCs w:val="24"/>
                <w:lang w:eastAsia="pt-BR"/>
              </w:rPr>
            </w:pPr>
            <w:r w:rsidRPr="005006B6">
              <w:rPr>
                <w:rFonts w:eastAsia="Times New Roman" w:cs="Arial"/>
                <w:color w:val="000000"/>
                <w:szCs w:val="24"/>
                <w:lang w:eastAsia="pt-BR"/>
              </w:rPr>
              <w:t xml:space="preserve"> R$ </w:t>
            </w:r>
            <w:r>
              <w:rPr>
                <w:rFonts w:eastAsia="Times New Roman" w:cs="Arial"/>
                <w:color w:val="000000"/>
                <w:szCs w:val="24"/>
                <w:lang w:eastAsia="pt-BR"/>
              </w:rPr>
              <w:t xml:space="preserve"> </w:t>
            </w:r>
            <w:r w:rsidRPr="005006B6">
              <w:rPr>
                <w:rFonts w:eastAsia="Times New Roman" w:cs="Arial"/>
                <w:color w:val="000000"/>
                <w:szCs w:val="24"/>
                <w:lang w:eastAsia="pt-BR"/>
              </w:rPr>
              <w:t xml:space="preserve">    795,00 </w:t>
            </w:r>
          </w:p>
        </w:tc>
        <w:tc>
          <w:tcPr>
            <w:tcW w:w="1842" w:type="dxa"/>
            <w:tcBorders>
              <w:top w:val="single" w:sz="4" w:space="0" w:color="auto"/>
              <w:left w:val="nil"/>
              <w:bottom w:val="single" w:sz="4" w:space="0" w:color="auto"/>
              <w:right w:val="nil"/>
            </w:tcBorders>
            <w:shd w:val="clear" w:color="auto" w:fill="auto"/>
            <w:noWrap/>
            <w:vAlign w:val="center"/>
            <w:hideMark/>
          </w:tcPr>
          <w:p w:rsidR="005006B6" w:rsidRPr="005006B6" w:rsidRDefault="005006B6" w:rsidP="005E7B36">
            <w:pPr>
              <w:spacing w:after="0" w:line="240" w:lineRule="auto"/>
              <w:contextualSpacing w:val="0"/>
              <w:jc w:val="center"/>
              <w:rPr>
                <w:rFonts w:eastAsia="Times New Roman" w:cs="Arial"/>
                <w:color w:val="000000"/>
                <w:szCs w:val="24"/>
                <w:lang w:eastAsia="pt-BR"/>
              </w:rPr>
            </w:pPr>
            <w:r w:rsidRPr="005006B6">
              <w:rPr>
                <w:rFonts w:eastAsia="Times New Roman" w:cs="Arial"/>
                <w:color w:val="000000"/>
                <w:szCs w:val="24"/>
                <w:lang w:eastAsia="pt-BR"/>
              </w:rPr>
              <w:t>4,00%</w:t>
            </w:r>
          </w:p>
        </w:tc>
      </w:tr>
      <w:tr w:rsidR="005006B6" w:rsidRPr="005006B6" w:rsidTr="00B57856">
        <w:trPr>
          <w:trHeight w:val="340"/>
        </w:trPr>
        <w:tc>
          <w:tcPr>
            <w:tcW w:w="4856" w:type="dxa"/>
            <w:tcBorders>
              <w:top w:val="single" w:sz="4" w:space="0" w:color="auto"/>
              <w:left w:val="nil"/>
              <w:bottom w:val="single" w:sz="4" w:space="0" w:color="auto"/>
              <w:right w:val="nil"/>
            </w:tcBorders>
            <w:shd w:val="clear" w:color="auto" w:fill="auto"/>
            <w:noWrap/>
            <w:vAlign w:val="center"/>
            <w:hideMark/>
          </w:tcPr>
          <w:p w:rsidR="005006B6" w:rsidRPr="005006B6" w:rsidRDefault="005006B6" w:rsidP="005E7B36">
            <w:pPr>
              <w:spacing w:after="0" w:line="240" w:lineRule="auto"/>
              <w:contextualSpacing w:val="0"/>
              <w:jc w:val="center"/>
              <w:rPr>
                <w:rFonts w:eastAsia="Times New Roman" w:cs="Arial"/>
                <w:color w:val="000000"/>
                <w:szCs w:val="24"/>
                <w:lang w:eastAsia="pt-BR"/>
              </w:rPr>
            </w:pPr>
            <w:r w:rsidRPr="005006B6">
              <w:rPr>
                <w:rFonts w:eastAsia="Times New Roman" w:cs="Arial"/>
                <w:color w:val="000000"/>
                <w:szCs w:val="24"/>
                <w:lang w:eastAsia="pt-BR"/>
              </w:rPr>
              <w:t>Bomba dosadora</w:t>
            </w:r>
          </w:p>
        </w:tc>
        <w:tc>
          <w:tcPr>
            <w:tcW w:w="2374" w:type="dxa"/>
            <w:tcBorders>
              <w:top w:val="single" w:sz="4" w:space="0" w:color="auto"/>
              <w:left w:val="nil"/>
              <w:bottom w:val="single" w:sz="4" w:space="0" w:color="auto"/>
              <w:right w:val="nil"/>
            </w:tcBorders>
            <w:shd w:val="clear" w:color="auto" w:fill="auto"/>
            <w:noWrap/>
            <w:vAlign w:val="center"/>
            <w:hideMark/>
          </w:tcPr>
          <w:p w:rsidR="005006B6" w:rsidRPr="005006B6" w:rsidRDefault="005006B6" w:rsidP="005006B6">
            <w:pPr>
              <w:spacing w:after="0" w:line="240" w:lineRule="auto"/>
              <w:contextualSpacing w:val="0"/>
              <w:jc w:val="center"/>
              <w:rPr>
                <w:rFonts w:eastAsia="Times New Roman" w:cs="Arial"/>
                <w:color w:val="000000"/>
                <w:szCs w:val="24"/>
                <w:lang w:eastAsia="pt-BR"/>
              </w:rPr>
            </w:pPr>
            <w:r w:rsidRPr="005006B6">
              <w:rPr>
                <w:rFonts w:eastAsia="Times New Roman" w:cs="Arial"/>
                <w:color w:val="000000"/>
                <w:szCs w:val="24"/>
                <w:lang w:eastAsia="pt-BR"/>
              </w:rPr>
              <w:t xml:space="preserve"> R$</w:t>
            </w:r>
            <w:r>
              <w:rPr>
                <w:rFonts w:eastAsia="Times New Roman" w:cs="Arial"/>
                <w:color w:val="000000"/>
                <w:szCs w:val="24"/>
                <w:lang w:eastAsia="pt-BR"/>
              </w:rPr>
              <w:t xml:space="preserve">     </w:t>
            </w:r>
            <w:r w:rsidRPr="005006B6">
              <w:rPr>
                <w:rFonts w:eastAsia="Times New Roman" w:cs="Arial"/>
                <w:color w:val="000000"/>
                <w:szCs w:val="24"/>
                <w:lang w:eastAsia="pt-BR"/>
              </w:rPr>
              <w:t xml:space="preserve"> 780,00 </w:t>
            </w:r>
          </w:p>
        </w:tc>
        <w:tc>
          <w:tcPr>
            <w:tcW w:w="1842" w:type="dxa"/>
            <w:tcBorders>
              <w:top w:val="single" w:sz="4" w:space="0" w:color="auto"/>
              <w:left w:val="nil"/>
              <w:bottom w:val="single" w:sz="4" w:space="0" w:color="auto"/>
              <w:right w:val="nil"/>
            </w:tcBorders>
            <w:shd w:val="clear" w:color="auto" w:fill="auto"/>
            <w:noWrap/>
            <w:vAlign w:val="center"/>
            <w:hideMark/>
          </w:tcPr>
          <w:p w:rsidR="005006B6" w:rsidRPr="005006B6" w:rsidRDefault="005006B6" w:rsidP="005E7B36">
            <w:pPr>
              <w:spacing w:after="0" w:line="240" w:lineRule="auto"/>
              <w:contextualSpacing w:val="0"/>
              <w:jc w:val="center"/>
              <w:rPr>
                <w:rFonts w:eastAsia="Times New Roman" w:cs="Arial"/>
                <w:color w:val="000000"/>
                <w:szCs w:val="24"/>
                <w:lang w:eastAsia="pt-BR"/>
              </w:rPr>
            </w:pPr>
            <w:r w:rsidRPr="005006B6">
              <w:rPr>
                <w:rFonts w:eastAsia="Times New Roman" w:cs="Arial"/>
                <w:color w:val="000000"/>
                <w:szCs w:val="24"/>
                <w:lang w:eastAsia="pt-BR"/>
              </w:rPr>
              <w:t>3,92%</w:t>
            </w:r>
          </w:p>
        </w:tc>
      </w:tr>
      <w:tr w:rsidR="005006B6" w:rsidRPr="005006B6" w:rsidTr="00B57856">
        <w:trPr>
          <w:trHeight w:val="340"/>
        </w:trPr>
        <w:tc>
          <w:tcPr>
            <w:tcW w:w="4856" w:type="dxa"/>
            <w:tcBorders>
              <w:top w:val="single" w:sz="4" w:space="0" w:color="auto"/>
              <w:left w:val="nil"/>
              <w:bottom w:val="single" w:sz="4" w:space="0" w:color="auto"/>
              <w:right w:val="nil"/>
            </w:tcBorders>
            <w:shd w:val="clear" w:color="auto" w:fill="auto"/>
            <w:noWrap/>
            <w:vAlign w:val="center"/>
            <w:hideMark/>
          </w:tcPr>
          <w:p w:rsidR="005006B6" w:rsidRPr="005006B6" w:rsidRDefault="005006B6" w:rsidP="005E7B36">
            <w:pPr>
              <w:spacing w:after="0" w:line="240" w:lineRule="auto"/>
              <w:contextualSpacing w:val="0"/>
              <w:jc w:val="center"/>
              <w:rPr>
                <w:rFonts w:eastAsia="Times New Roman" w:cs="Arial"/>
                <w:b/>
                <w:color w:val="000000"/>
                <w:szCs w:val="24"/>
                <w:lang w:eastAsia="pt-BR"/>
              </w:rPr>
            </w:pPr>
            <w:r w:rsidRPr="005006B6">
              <w:rPr>
                <w:rFonts w:eastAsia="Times New Roman" w:cs="Arial"/>
                <w:b/>
                <w:color w:val="000000"/>
                <w:szCs w:val="24"/>
                <w:lang w:eastAsia="pt-BR"/>
              </w:rPr>
              <w:t>Total Custos Fixos</w:t>
            </w:r>
          </w:p>
        </w:tc>
        <w:tc>
          <w:tcPr>
            <w:tcW w:w="4216" w:type="dxa"/>
            <w:gridSpan w:val="2"/>
            <w:tcBorders>
              <w:top w:val="single" w:sz="4" w:space="0" w:color="auto"/>
              <w:left w:val="nil"/>
              <w:bottom w:val="single" w:sz="4" w:space="0" w:color="auto"/>
              <w:right w:val="nil"/>
            </w:tcBorders>
            <w:shd w:val="clear" w:color="auto" w:fill="auto"/>
            <w:noWrap/>
            <w:vAlign w:val="center"/>
            <w:hideMark/>
          </w:tcPr>
          <w:p w:rsidR="005006B6" w:rsidRPr="005006B6" w:rsidRDefault="005006B6" w:rsidP="005006B6">
            <w:pPr>
              <w:spacing w:after="0" w:line="240" w:lineRule="auto"/>
              <w:contextualSpacing w:val="0"/>
              <w:jc w:val="center"/>
              <w:rPr>
                <w:rFonts w:eastAsia="Times New Roman" w:cs="Arial"/>
                <w:b/>
                <w:color w:val="000000"/>
                <w:szCs w:val="24"/>
                <w:lang w:eastAsia="pt-BR"/>
              </w:rPr>
            </w:pPr>
            <w:r w:rsidRPr="005006B6">
              <w:rPr>
                <w:rFonts w:eastAsia="Times New Roman" w:cs="Arial"/>
                <w:b/>
                <w:color w:val="000000"/>
                <w:szCs w:val="24"/>
                <w:lang w:eastAsia="pt-BR"/>
              </w:rPr>
              <w:t xml:space="preserve"> R$    19.899,00 </w:t>
            </w:r>
          </w:p>
        </w:tc>
      </w:tr>
    </w:tbl>
    <w:p w:rsidR="00FF33BA" w:rsidRDefault="00C91A0F" w:rsidP="00A017BA">
      <w:pPr>
        <w:jc w:val="center"/>
      </w:pPr>
      <w:r w:rsidRPr="00C91A0F">
        <w:t>Fonte: Autoria Própria</w:t>
      </w:r>
    </w:p>
    <w:p w:rsidR="00612958" w:rsidRDefault="00612958" w:rsidP="00B100A1">
      <w:r>
        <w:t>Para complementar a análise, um custo de manutenção e operação anual referente a 1,00% dos custos fixos</w:t>
      </w:r>
      <w:r w:rsidR="00536102">
        <w:t xml:space="preserve"> do</w:t>
      </w:r>
      <w:r w:rsidR="009B276C">
        <w:t xml:space="preserve"> sistema é calculado para ser</w:t>
      </w:r>
      <w:r w:rsidR="00DB227D">
        <w:t xml:space="preserve"> descontado da receita obtida.</w:t>
      </w:r>
    </w:p>
    <w:p w:rsidR="0030199A" w:rsidRDefault="0030199A" w:rsidP="00310781">
      <w:pPr>
        <w:pStyle w:val="Nvel2-PG"/>
      </w:pPr>
    </w:p>
    <w:p w:rsidR="007F35EE" w:rsidRDefault="00310781" w:rsidP="00310781">
      <w:pPr>
        <w:pStyle w:val="Nvel2-PG"/>
      </w:pPr>
      <w:bookmarkStart w:id="188" w:name="_Toc488678384"/>
      <w:r>
        <w:t>5.3 Estimativa de taxas</w:t>
      </w:r>
      <w:bookmarkEnd w:id="188"/>
    </w:p>
    <w:p w:rsidR="00B57856" w:rsidRDefault="007F35EE" w:rsidP="00B57856">
      <w:r>
        <w:t xml:space="preserve">Para </w:t>
      </w:r>
      <w:r w:rsidR="0030199A">
        <w:t xml:space="preserve">a projeção dos valores futuros dos custos e </w:t>
      </w:r>
      <w:r w:rsidR="00310781">
        <w:t>do capital de investimento, uma</w:t>
      </w:r>
      <w:r>
        <w:t xml:space="preserve"> correlação </w:t>
      </w:r>
      <w:r w:rsidR="00310781">
        <w:t xml:space="preserve">com a evolução </w:t>
      </w:r>
      <w:r>
        <w:t>da taxa de inflação</w:t>
      </w:r>
      <w:r w:rsidR="00310781">
        <w:t xml:space="preserve"> deve ser realizada</w:t>
      </w:r>
      <w:r>
        <w:t xml:space="preserve">. </w:t>
      </w:r>
      <w:r w:rsidR="00A57A99">
        <w:t xml:space="preserve">A </w:t>
      </w:r>
      <w:r w:rsidR="00A57A99">
        <w:fldChar w:fldCharType="begin"/>
      </w:r>
      <w:r w:rsidR="00A57A99">
        <w:instrText xml:space="preserve"> REF _Ref488225327 \h </w:instrText>
      </w:r>
      <w:r w:rsidR="00A017BA">
        <w:instrText xml:space="preserve"> \* MERGEFORMAT </w:instrText>
      </w:r>
      <w:r w:rsidR="00A57A99">
        <w:fldChar w:fldCharType="separate"/>
      </w:r>
      <w:r w:rsidR="00C91A0F">
        <w:t xml:space="preserve">Tabela </w:t>
      </w:r>
      <w:r w:rsidR="00C91A0F">
        <w:rPr>
          <w:noProof/>
        </w:rPr>
        <w:t>11</w:t>
      </w:r>
      <w:r w:rsidR="00A57A99">
        <w:fldChar w:fldCharType="end"/>
      </w:r>
      <w:r w:rsidR="00A57A99">
        <w:t xml:space="preserve"> traz o</w:t>
      </w:r>
      <w:r w:rsidR="00310781">
        <w:t xml:space="preserve"> valor da</w:t>
      </w:r>
      <w:r>
        <w:t xml:space="preserve"> inflação</w:t>
      </w:r>
      <w:r w:rsidR="00310781">
        <w:t xml:space="preserve">, medida através do </w:t>
      </w:r>
      <w:r w:rsidR="00310781" w:rsidRPr="00310781">
        <w:t>Índice de Preços ao Consumidor Amplo</w:t>
      </w:r>
      <w:r w:rsidR="00310781">
        <w:t xml:space="preserve"> – IPCA. A</w:t>
      </w:r>
      <w:r>
        <w:t xml:space="preserve"> média do valor da inflação no ano 2016 e</w:t>
      </w:r>
      <w:r w:rsidR="00310781">
        <w:t xml:space="preserve"> dos</w:t>
      </w:r>
      <w:r>
        <w:t xml:space="preserve"> valores projetados pelo Banco Cen</w:t>
      </w:r>
      <w:r w:rsidR="00A57A99">
        <w:t>tral para os próximos cinco anos</w:t>
      </w:r>
      <w:r w:rsidR="00310781">
        <w:t xml:space="preserve"> será o índice de inflação escolhido</w:t>
      </w:r>
      <w:r w:rsidR="00A57A99">
        <w:t>.</w:t>
      </w:r>
      <w:bookmarkStart w:id="189" w:name="_Ref488225327"/>
    </w:p>
    <w:p w:rsidR="00A57A99" w:rsidRDefault="00A57A99" w:rsidP="00C91A0F">
      <w:pPr>
        <w:pStyle w:val="Tabela-PG"/>
      </w:pPr>
      <w:bookmarkStart w:id="190" w:name="_Toc488706092"/>
      <w:r>
        <w:t xml:space="preserve">Tabela </w:t>
      </w:r>
      <w:fldSimple w:instr=" SEQ Tabela \* ARABIC ">
        <w:r w:rsidR="00C91A0F">
          <w:rPr>
            <w:noProof/>
          </w:rPr>
          <w:t>11</w:t>
        </w:r>
      </w:fldSimple>
      <w:bookmarkEnd w:id="189"/>
      <w:r w:rsidR="00DB227D">
        <w:t xml:space="preserve"> - </w:t>
      </w:r>
      <w:r w:rsidR="00310781">
        <w:t>Histórico e p</w:t>
      </w:r>
      <w:r w:rsidR="00F0321D">
        <w:t>rojeção do índice de preços ao consumidor amplo - IPCA</w:t>
      </w:r>
      <w:r w:rsidR="00310781">
        <w:t>.</w:t>
      </w:r>
      <w:bookmarkEnd w:id="190"/>
    </w:p>
    <w:tbl>
      <w:tblPr>
        <w:tblW w:w="9072" w:type="dxa"/>
        <w:tblCellMar>
          <w:left w:w="70" w:type="dxa"/>
          <w:right w:w="70" w:type="dxa"/>
        </w:tblCellMar>
        <w:tblLook w:val="04A0" w:firstRow="1" w:lastRow="0" w:firstColumn="1" w:lastColumn="0" w:noHBand="0" w:noVBand="1"/>
      </w:tblPr>
      <w:tblGrid>
        <w:gridCol w:w="5360"/>
        <w:gridCol w:w="3712"/>
      </w:tblGrid>
      <w:tr w:rsidR="00A57A99" w:rsidRPr="00A57A99" w:rsidTr="00B57856">
        <w:trPr>
          <w:trHeight w:val="340"/>
        </w:trPr>
        <w:tc>
          <w:tcPr>
            <w:tcW w:w="9072" w:type="dxa"/>
            <w:gridSpan w:val="2"/>
            <w:tcBorders>
              <w:top w:val="single" w:sz="4" w:space="0" w:color="auto"/>
              <w:left w:val="nil"/>
              <w:bottom w:val="single" w:sz="4" w:space="0" w:color="auto"/>
              <w:right w:val="nil"/>
            </w:tcBorders>
            <w:shd w:val="clear" w:color="auto" w:fill="auto"/>
            <w:noWrap/>
            <w:vAlign w:val="center"/>
            <w:hideMark/>
          </w:tcPr>
          <w:p w:rsidR="00A57A99" w:rsidRPr="00A57A99" w:rsidRDefault="00F0321D" w:rsidP="00F0321D">
            <w:pPr>
              <w:spacing w:after="0" w:line="240" w:lineRule="auto"/>
              <w:contextualSpacing w:val="0"/>
              <w:jc w:val="center"/>
              <w:rPr>
                <w:rFonts w:eastAsia="Times New Roman" w:cs="Arial"/>
                <w:b/>
                <w:i/>
                <w:color w:val="000000"/>
                <w:szCs w:val="24"/>
                <w:lang w:eastAsia="pt-BR"/>
              </w:rPr>
            </w:pPr>
            <w:r>
              <w:rPr>
                <w:rFonts w:eastAsia="Times New Roman" w:cs="Arial"/>
                <w:b/>
                <w:i/>
                <w:color w:val="000000"/>
                <w:szCs w:val="24"/>
                <w:lang w:eastAsia="pt-BR"/>
              </w:rPr>
              <w:t>Histórico e projeção do IPCA</w:t>
            </w:r>
          </w:p>
        </w:tc>
      </w:tr>
      <w:tr w:rsidR="00A57A99" w:rsidRPr="00A57A99" w:rsidTr="00B57856">
        <w:trPr>
          <w:trHeight w:val="340"/>
        </w:trPr>
        <w:tc>
          <w:tcPr>
            <w:tcW w:w="5360" w:type="dxa"/>
            <w:tcBorders>
              <w:top w:val="nil"/>
              <w:left w:val="nil"/>
              <w:bottom w:val="single" w:sz="4" w:space="0" w:color="auto"/>
              <w:right w:val="nil"/>
            </w:tcBorders>
            <w:shd w:val="clear" w:color="auto" w:fill="auto"/>
            <w:noWrap/>
            <w:vAlign w:val="center"/>
            <w:hideMark/>
          </w:tcPr>
          <w:p w:rsidR="00A57A99" w:rsidRPr="00A57A99" w:rsidRDefault="00A57A99" w:rsidP="00A57A99">
            <w:pPr>
              <w:spacing w:after="0" w:line="240" w:lineRule="auto"/>
              <w:contextualSpacing w:val="0"/>
              <w:jc w:val="center"/>
              <w:rPr>
                <w:rFonts w:eastAsia="Times New Roman" w:cs="Arial"/>
                <w:color w:val="000000"/>
                <w:szCs w:val="24"/>
                <w:lang w:eastAsia="pt-BR"/>
              </w:rPr>
            </w:pPr>
            <w:r w:rsidRPr="00A57A99">
              <w:rPr>
                <w:rFonts w:eastAsia="Times New Roman" w:cs="Arial"/>
                <w:color w:val="000000"/>
                <w:szCs w:val="24"/>
                <w:lang w:eastAsia="pt-BR"/>
              </w:rPr>
              <w:t>2016</w:t>
            </w:r>
          </w:p>
        </w:tc>
        <w:tc>
          <w:tcPr>
            <w:tcW w:w="3712" w:type="dxa"/>
            <w:tcBorders>
              <w:top w:val="nil"/>
              <w:left w:val="nil"/>
              <w:bottom w:val="single" w:sz="4" w:space="0" w:color="auto"/>
              <w:right w:val="nil"/>
            </w:tcBorders>
            <w:shd w:val="clear" w:color="auto" w:fill="auto"/>
            <w:noWrap/>
            <w:vAlign w:val="center"/>
            <w:hideMark/>
          </w:tcPr>
          <w:p w:rsidR="00A57A99" w:rsidRPr="00A57A99" w:rsidRDefault="00A57A99" w:rsidP="00A57A99">
            <w:pPr>
              <w:spacing w:after="0" w:line="240" w:lineRule="auto"/>
              <w:contextualSpacing w:val="0"/>
              <w:jc w:val="center"/>
              <w:rPr>
                <w:rFonts w:eastAsia="Times New Roman" w:cs="Arial"/>
                <w:color w:val="000000"/>
                <w:szCs w:val="24"/>
                <w:lang w:eastAsia="pt-BR"/>
              </w:rPr>
            </w:pPr>
            <w:r w:rsidRPr="00A57A99">
              <w:rPr>
                <w:rFonts w:eastAsia="Times New Roman" w:cs="Arial"/>
                <w:color w:val="000000"/>
                <w:szCs w:val="24"/>
                <w:lang w:eastAsia="pt-BR"/>
              </w:rPr>
              <w:t>7,36%</w:t>
            </w:r>
          </w:p>
        </w:tc>
      </w:tr>
      <w:tr w:rsidR="00A57A99" w:rsidRPr="00A57A99" w:rsidTr="00B57856">
        <w:trPr>
          <w:trHeight w:val="340"/>
        </w:trPr>
        <w:tc>
          <w:tcPr>
            <w:tcW w:w="5360" w:type="dxa"/>
            <w:tcBorders>
              <w:top w:val="nil"/>
              <w:left w:val="nil"/>
              <w:bottom w:val="single" w:sz="4" w:space="0" w:color="auto"/>
              <w:right w:val="nil"/>
            </w:tcBorders>
            <w:shd w:val="clear" w:color="auto" w:fill="auto"/>
            <w:noWrap/>
            <w:vAlign w:val="center"/>
            <w:hideMark/>
          </w:tcPr>
          <w:p w:rsidR="00A57A99" w:rsidRPr="00A57A99" w:rsidRDefault="00A57A99" w:rsidP="00A57A99">
            <w:pPr>
              <w:spacing w:after="0" w:line="240" w:lineRule="auto"/>
              <w:contextualSpacing w:val="0"/>
              <w:jc w:val="center"/>
              <w:rPr>
                <w:rFonts w:eastAsia="Times New Roman" w:cs="Arial"/>
                <w:color w:val="000000"/>
                <w:szCs w:val="24"/>
                <w:lang w:eastAsia="pt-BR"/>
              </w:rPr>
            </w:pPr>
            <w:r w:rsidRPr="00A57A99">
              <w:rPr>
                <w:rFonts w:eastAsia="Times New Roman" w:cs="Arial"/>
                <w:color w:val="000000"/>
                <w:szCs w:val="24"/>
                <w:lang w:eastAsia="pt-BR"/>
              </w:rPr>
              <w:t>2017</w:t>
            </w:r>
          </w:p>
        </w:tc>
        <w:tc>
          <w:tcPr>
            <w:tcW w:w="3712" w:type="dxa"/>
            <w:tcBorders>
              <w:top w:val="nil"/>
              <w:left w:val="nil"/>
              <w:bottom w:val="single" w:sz="4" w:space="0" w:color="auto"/>
              <w:right w:val="nil"/>
            </w:tcBorders>
            <w:shd w:val="clear" w:color="auto" w:fill="auto"/>
            <w:noWrap/>
            <w:vAlign w:val="center"/>
            <w:hideMark/>
          </w:tcPr>
          <w:p w:rsidR="00A57A99" w:rsidRPr="00A57A99" w:rsidRDefault="00A57A99" w:rsidP="00A57A99">
            <w:pPr>
              <w:spacing w:after="0" w:line="240" w:lineRule="auto"/>
              <w:contextualSpacing w:val="0"/>
              <w:jc w:val="center"/>
              <w:rPr>
                <w:rFonts w:eastAsia="Times New Roman" w:cs="Arial"/>
                <w:color w:val="000000"/>
                <w:szCs w:val="24"/>
                <w:lang w:eastAsia="pt-BR"/>
              </w:rPr>
            </w:pPr>
            <w:r w:rsidRPr="00A57A99">
              <w:rPr>
                <w:rFonts w:eastAsia="Times New Roman" w:cs="Arial"/>
                <w:color w:val="000000"/>
                <w:szCs w:val="24"/>
                <w:lang w:eastAsia="pt-BR"/>
              </w:rPr>
              <w:t>5,21%</w:t>
            </w:r>
          </w:p>
        </w:tc>
      </w:tr>
      <w:tr w:rsidR="00A57A99" w:rsidRPr="00A57A99" w:rsidTr="00B57856">
        <w:trPr>
          <w:trHeight w:val="340"/>
        </w:trPr>
        <w:tc>
          <w:tcPr>
            <w:tcW w:w="5360" w:type="dxa"/>
            <w:tcBorders>
              <w:top w:val="nil"/>
              <w:left w:val="nil"/>
              <w:bottom w:val="single" w:sz="4" w:space="0" w:color="auto"/>
              <w:right w:val="nil"/>
            </w:tcBorders>
            <w:shd w:val="clear" w:color="auto" w:fill="auto"/>
            <w:noWrap/>
            <w:vAlign w:val="center"/>
            <w:hideMark/>
          </w:tcPr>
          <w:p w:rsidR="00A57A99" w:rsidRPr="00A57A99" w:rsidRDefault="00A57A99" w:rsidP="00A57A99">
            <w:pPr>
              <w:spacing w:after="0" w:line="240" w:lineRule="auto"/>
              <w:contextualSpacing w:val="0"/>
              <w:jc w:val="center"/>
              <w:rPr>
                <w:rFonts w:eastAsia="Times New Roman" w:cs="Arial"/>
                <w:color w:val="000000"/>
                <w:szCs w:val="24"/>
                <w:lang w:eastAsia="pt-BR"/>
              </w:rPr>
            </w:pPr>
            <w:r w:rsidRPr="00A57A99">
              <w:rPr>
                <w:rFonts w:eastAsia="Times New Roman" w:cs="Arial"/>
                <w:color w:val="000000"/>
                <w:szCs w:val="24"/>
                <w:lang w:eastAsia="pt-BR"/>
              </w:rPr>
              <w:t>2018</w:t>
            </w:r>
          </w:p>
        </w:tc>
        <w:tc>
          <w:tcPr>
            <w:tcW w:w="3712" w:type="dxa"/>
            <w:tcBorders>
              <w:top w:val="nil"/>
              <w:left w:val="nil"/>
              <w:bottom w:val="single" w:sz="4" w:space="0" w:color="auto"/>
              <w:right w:val="nil"/>
            </w:tcBorders>
            <w:shd w:val="clear" w:color="auto" w:fill="auto"/>
            <w:noWrap/>
            <w:vAlign w:val="center"/>
            <w:hideMark/>
          </w:tcPr>
          <w:p w:rsidR="00A57A99" w:rsidRPr="00A57A99" w:rsidRDefault="00A57A99" w:rsidP="00A57A99">
            <w:pPr>
              <w:spacing w:after="0" w:line="240" w:lineRule="auto"/>
              <w:contextualSpacing w:val="0"/>
              <w:jc w:val="center"/>
              <w:rPr>
                <w:rFonts w:eastAsia="Times New Roman" w:cs="Arial"/>
                <w:color w:val="000000"/>
                <w:szCs w:val="24"/>
                <w:lang w:eastAsia="pt-BR"/>
              </w:rPr>
            </w:pPr>
            <w:r w:rsidRPr="00A57A99">
              <w:rPr>
                <w:rFonts w:eastAsia="Times New Roman" w:cs="Arial"/>
                <w:color w:val="000000"/>
                <w:szCs w:val="24"/>
                <w:lang w:eastAsia="pt-BR"/>
              </w:rPr>
              <w:t>4,67%</w:t>
            </w:r>
          </w:p>
        </w:tc>
      </w:tr>
      <w:tr w:rsidR="00A57A99" w:rsidRPr="00A57A99" w:rsidTr="00B57856">
        <w:trPr>
          <w:trHeight w:val="340"/>
        </w:trPr>
        <w:tc>
          <w:tcPr>
            <w:tcW w:w="5360" w:type="dxa"/>
            <w:tcBorders>
              <w:top w:val="nil"/>
              <w:left w:val="nil"/>
              <w:bottom w:val="single" w:sz="4" w:space="0" w:color="auto"/>
              <w:right w:val="nil"/>
            </w:tcBorders>
            <w:shd w:val="clear" w:color="auto" w:fill="auto"/>
            <w:noWrap/>
            <w:vAlign w:val="center"/>
            <w:hideMark/>
          </w:tcPr>
          <w:p w:rsidR="00A57A99" w:rsidRPr="00A57A99" w:rsidRDefault="00A57A99" w:rsidP="00A57A99">
            <w:pPr>
              <w:spacing w:after="0" w:line="240" w:lineRule="auto"/>
              <w:contextualSpacing w:val="0"/>
              <w:jc w:val="center"/>
              <w:rPr>
                <w:rFonts w:eastAsia="Times New Roman" w:cs="Arial"/>
                <w:color w:val="000000"/>
                <w:szCs w:val="24"/>
                <w:lang w:eastAsia="pt-BR"/>
              </w:rPr>
            </w:pPr>
            <w:r w:rsidRPr="00A57A99">
              <w:rPr>
                <w:rFonts w:eastAsia="Times New Roman" w:cs="Arial"/>
                <w:color w:val="000000"/>
                <w:szCs w:val="24"/>
                <w:lang w:eastAsia="pt-BR"/>
              </w:rPr>
              <w:t>2019</w:t>
            </w:r>
          </w:p>
        </w:tc>
        <w:tc>
          <w:tcPr>
            <w:tcW w:w="3712" w:type="dxa"/>
            <w:tcBorders>
              <w:top w:val="nil"/>
              <w:left w:val="nil"/>
              <w:bottom w:val="single" w:sz="4" w:space="0" w:color="auto"/>
              <w:right w:val="nil"/>
            </w:tcBorders>
            <w:shd w:val="clear" w:color="auto" w:fill="auto"/>
            <w:noWrap/>
            <w:vAlign w:val="center"/>
            <w:hideMark/>
          </w:tcPr>
          <w:p w:rsidR="00A57A99" w:rsidRPr="00A57A99" w:rsidRDefault="00A57A99" w:rsidP="00A57A99">
            <w:pPr>
              <w:spacing w:after="0" w:line="240" w:lineRule="auto"/>
              <w:contextualSpacing w:val="0"/>
              <w:jc w:val="center"/>
              <w:rPr>
                <w:rFonts w:eastAsia="Times New Roman" w:cs="Arial"/>
                <w:color w:val="000000"/>
                <w:szCs w:val="24"/>
                <w:lang w:eastAsia="pt-BR"/>
              </w:rPr>
            </w:pPr>
            <w:r w:rsidRPr="00A57A99">
              <w:rPr>
                <w:rFonts w:eastAsia="Times New Roman" w:cs="Arial"/>
                <w:color w:val="000000"/>
                <w:szCs w:val="24"/>
                <w:lang w:eastAsia="pt-BR"/>
              </w:rPr>
              <w:t>4,54%</w:t>
            </w:r>
          </w:p>
        </w:tc>
      </w:tr>
      <w:tr w:rsidR="00A57A99" w:rsidRPr="00A57A99" w:rsidTr="00B57856">
        <w:trPr>
          <w:trHeight w:val="340"/>
        </w:trPr>
        <w:tc>
          <w:tcPr>
            <w:tcW w:w="5360" w:type="dxa"/>
            <w:tcBorders>
              <w:top w:val="nil"/>
              <w:left w:val="nil"/>
              <w:bottom w:val="single" w:sz="4" w:space="0" w:color="auto"/>
              <w:right w:val="nil"/>
            </w:tcBorders>
            <w:shd w:val="clear" w:color="auto" w:fill="auto"/>
            <w:noWrap/>
            <w:vAlign w:val="center"/>
            <w:hideMark/>
          </w:tcPr>
          <w:p w:rsidR="00A57A99" w:rsidRPr="00A57A99" w:rsidRDefault="00A57A99" w:rsidP="00A57A99">
            <w:pPr>
              <w:spacing w:after="0" w:line="240" w:lineRule="auto"/>
              <w:contextualSpacing w:val="0"/>
              <w:jc w:val="center"/>
              <w:rPr>
                <w:rFonts w:eastAsia="Times New Roman" w:cs="Arial"/>
                <w:color w:val="000000"/>
                <w:szCs w:val="24"/>
                <w:lang w:eastAsia="pt-BR"/>
              </w:rPr>
            </w:pPr>
            <w:r w:rsidRPr="00A57A99">
              <w:rPr>
                <w:rFonts w:eastAsia="Times New Roman" w:cs="Arial"/>
                <w:color w:val="000000"/>
                <w:szCs w:val="24"/>
                <w:lang w:eastAsia="pt-BR"/>
              </w:rPr>
              <w:t>2020</w:t>
            </w:r>
          </w:p>
        </w:tc>
        <w:tc>
          <w:tcPr>
            <w:tcW w:w="3712" w:type="dxa"/>
            <w:tcBorders>
              <w:top w:val="nil"/>
              <w:left w:val="nil"/>
              <w:bottom w:val="single" w:sz="4" w:space="0" w:color="auto"/>
              <w:right w:val="nil"/>
            </w:tcBorders>
            <w:shd w:val="clear" w:color="auto" w:fill="auto"/>
            <w:noWrap/>
            <w:vAlign w:val="center"/>
            <w:hideMark/>
          </w:tcPr>
          <w:p w:rsidR="00A57A99" w:rsidRPr="00A57A99" w:rsidRDefault="00A57A99" w:rsidP="00A57A99">
            <w:pPr>
              <w:spacing w:after="0" w:line="240" w:lineRule="auto"/>
              <w:contextualSpacing w:val="0"/>
              <w:jc w:val="center"/>
              <w:rPr>
                <w:rFonts w:eastAsia="Times New Roman" w:cs="Arial"/>
                <w:color w:val="000000"/>
                <w:szCs w:val="24"/>
                <w:lang w:eastAsia="pt-BR"/>
              </w:rPr>
            </w:pPr>
            <w:r w:rsidRPr="00A57A99">
              <w:rPr>
                <w:rFonts w:eastAsia="Times New Roman" w:cs="Arial"/>
                <w:color w:val="000000"/>
                <w:szCs w:val="24"/>
                <w:lang w:eastAsia="pt-BR"/>
              </w:rPr>
              <w:t>4,49%</w:t>
            </w:r>
          </w:p>
        </w:tc>
      </w:tr>
      <w:tr w:rsidR="00A57A99" w:rsidRPr="00A57A99" w:rsidTr="00B57856">
        <w:trPr>
          <w:trHeight w:val="340"/>
        </w:trPr>
        <w:tc>
          <w:tcPr>
            <w:tcW w:w="5360" w:type="dxa"/>
            <w:tcBorders>
              <w:top w:val="nil"/>
              <w:left w:val="nil"/>
              <w:bottom w:val="single" w:sz="4" w:space="0" w:color="auto"/>
              <w:right w:val="nil"/>
            </w:tcBorders>
            <w:shd w:val="clear" w:color="auto" w:fill="auto"/>
            <w:noWrap/>
            <w:vAlign w:val="center"/>
            <w:hideMark/>
          </w:tcPr>
          <w:p w:rsidR="00A57A99" w:rsidRPr="00310781" w:rsidRDefault="00A57A99" w:rsidP="00F0321D">
            <w:pPr>
              <w:spacing w:after="0" w:line="240" w:lineRule="auto"/>
              <w:contextualSpacing w:val="0"/>
              <w:jc w:val="center"/>
              <w:rPr>
                <w:rFonts w:eastAsia="Times New Roman" w:cs="Arial"/>
                <w:b/>
                <w:color w:val="000000"/>
                <w:szCs w:val="24"/>
                <w:lang w:eastAsia="pt-BR"/>
              </w:rPr>
            </w:pPr>
            <w:r w:rsidRPr="00310781">
              <w:rPr>
                <w:rFonts w:eastAsia="Times New Roman" w:cs="Arial"/>
                <w:b/>
                <w:color w:val="000000"/>
                <w:szCs w:val="24"/>
                <w:lang w:eastAsia="pt-BR"/>
              </w:rPr>
              <w:t>Média</w:t>
            </w:r>
          </w:p>
        </w:tc>
        <w:tc>
          <w:tcPr>
            <w:tcW w:w="3712" w:type="dxa"/>
            <w:tcBorders>
              <w:top w:val="nil"/>
              <w:left w:val="nil"/>
              <w:bottom w:val="single" w:sz="4" w:space="0" w:color="auto"/>
              <w:right w:val="nil"/>
            </w:tcBorders>
            <w:shd w:val="clear" w:color="auto" w:fill="auto"/>
            <w:noWrap/>
            <w:vAlign w:val="center"/>
            <w:hideMark/>
          </w:tcPr>
          <w:p w:rsidR="00A57A99" w:rsidRPr="00310781" w:rsidRDefault="00A57A99" w:rsidP="00F0321D">
            <w:pPr>
              <w:spacing w:after="0" w:line="240" w:lineRule="auto"/>
              <w:contextualSpacing w:val="0"/>
              <w:jc w:val="center"/>
              <w:rPr>
                <w:rFonts w:eastAsia="Times New Roman" w:cs="Arial"/>
                <w:b/>
                <w:color w:val="000000"/>
                <w:szCs w:val="24"/>
                <w:lang w:eastAsia="pt-BR"/>
              </w:rPr>
            </w:pPr>
            <w:r w:rsidRPr="00310781">
              <w:rPr>
                <w:rFonts w:eastAsia="Times New Roman" w:cs="Arial"/>
                <w:b/>
                <w:color w:val="000000"/>
                <w:szCs w:val="24"/>
                <w:lang w:eastAsia="pt-BR"/>
              </w:rPr>
              <w:t>5,25%</w:t>
            </w:r>
          </w:p>
        </w:tc>
      </w:tr>
    </w:tbl>
    <w:p w:rsidR="00A57A99" w:rsidRDefault="00310781" w:rsidP="00A017BA">
      <w:pPr>
        <w:jc w:val="center"/>
      </w:pPr>
      <w:r>
        <w:t>Fonte: Banco Central</w:t>
      </w:r>
    </w:p>
    <w:p w:rsidR="00865455" w:rsidRPr="00C91A0F" w:rsidRDefault="00A57A99" w:rsidP="00A017BA">
      <w:r>
        <w:lastRenderedPageBreak/>
        <w:t xml:space="preserve">Logo, a taxa </w:t>
      </w:r>
      <w:r w:rsidR="007F35EE">
        <w:t>de</w:t>
      </w:r>
      <w:r>
        <w:t xml:space="preserve"> inflação simulada será a de 5,25</w:t>
      </w:r>
      <w:r w:rsidR="007F35EE">
        <w:t>%</w:t>
      </w:r>
      <w:r w:rsidR="00865455">
        <w:t>. Esta taxa será utilizada</w:t>
      </w:r>
      <w:r w:rsidR="00310781">
        <w:t xml:space="preserve"> </w:t>
      </w:r>
      <w:r w:rsidR="00865455">
        <w:t>para a correção dos valores do aditivo</w:t>
      </w:r>
      <w:r w:rsidR="007317B0">
        <w:t xml:space="preserve"> e reajuste dos custos com manutenção e operação</w:t>
      </w:r>
      <w:r w:rsidR="00310781">
        <w:t>.</w:t>
      </w:r>
      <w:r w:rsidR="00865455">
        <w:t xml:space="preserve"> P</w:t>
      </w:r>
      <w:r w:rsidR="00865455" w:rsidRPr="00865455">
        <w:t xml:space="preserve">ara o reajuste anual </w:t>
      </w:r>
      <w:r w:rsidR="00865455">
        <w:t>do</w:t>
      </w:r>
      <w:r w:rsidR="00F0321D">
        <w:t xml:space="preserve"> custo do kWh da classe analisada neste estudo de caso, a taxa adotada foi menor. D</w:t>
      </w:r>
      <w:r w:rsidR="00865455">
        <w:t xml:space="preserve">e acordo com </w:t>
      </w:r>
      <w:r w:rsidR="006C6F09">
        <w:t xml:space="preserve">bases estatísticas da ANEEL e previsões do </w:t>
      </w:r>
      <w:r w:rsidR="006C6F09" w:rsidRPr="00C91A0F">
        <w:t xml:space="preserve">IGPM e IRT, o reajuste anual na tarifa gira em torno de 4,8% ao ano. </w:t>
      </w:r>
      <w:r w:rsidR="00A0628D">
        <w:t>[47]</w:t>
      </w:r>
    </w:p>
    <w:p w:rsidR="007F35EE" w:rsidRDefault="00AE579F" w:rsidP="00A017BA">
      <w:r w:rsidRPr="00C91A0F">
        <w:t xml:space="preserve">A análise econômica </w:t>
      </w:r>
      <w:r w:rsidR="00415F74" w:rsidRPr="00C91A0F">
        <w:t xml:space="preserve">no caso mais completo </w:t>
      </w:r>
      <w:r w:rsidRPr="00C91A0F">
        <w:t xml:space="preserve">deve, </w:t>
      </w:r>
      <w:r w:rsidR="007F35EE" w:rsidRPr="00C91A0F">
        <w:t>impreterivelmente</w:t>
      </w:r>
      <w:r w:rsidRPr="00C91A0F">
        <w:t>,</w:t>
      </w:r>
      <w:r w:rsidR="007F35EE" w:rsidRPr="00C91A0F">
        <w:t xml:space="preserve"> incluir uma taxa </w:t>
      </w:r>
      <w:r w:rsidR="007F35EE">
        <w:t xml:space="preserve">de desconto, que </w:t>
      </w:r>
      <w:r w:rsidR="00415F74">
        <w:t xml:space="preserve">tem o objetivo de </w:t>
      </w:r>
      <w:r w:rsidR="007F35EE">
        <w:t>mensurar o custo de oportunidade do</w:t>
      </w:r>
      <w:r w:rsidR="00415F74">
        <w:t xml:space="preserve"> investidor</w:t>
      </w:r>
      <w:r w:rsidR="007F35EE">
        <w:t xml:space="preserve"> em razão de sua escolha, o custo indireto no qual o tomador de decisão incorre em virtude de abrir mão do benefício marginal cabível a outras </w:t>
      </w:r>
      <w:r w:rsidR="00415F74">
        <w:t>possibilidades</w:t>
      </w:r>
      <w:r>
        <w:t>, como</w:t>
      </w:r>
      <w:r w:rsidR="004B4920">
        <w:t xml:space="preserve"> o investimento em ativos</w:t>
      </w:r>
      <w:r w:rsidR="007F35EE">
        <w:t>.</w:t>
      </w:r>
    </w:p>
    <w:p w:rsidR="007F35EE" w:rsidRDefault="007F35EE" w:rsidP="00A017BA">
      <w:r>
        <w:t xml:space="preserve">No cenário padrão </w:t>
      </w:r>
      <w:r w:rsidR="003A7561">
        <w:t xml:space="preserve">será considerada a </w:t>
      </w:r>
      <w:r>
        <w:t xml:space="preserve">taxa </w:t>
      </w:r>
      <w:r w:rsidR="003A7561">
        <w:t>de desconto de</w:t>
      </w:r>
      <w:r>
        <w:t xml:space="preserve"> </w:t>
      </w:r>
      <w:r w:rsidR="00AE579F" w:rsidRPr="00AE579F">
        <w:t>1</w:t>
      </w:r>
      <w:r w:rsidR="00622B67">
        <w:t>0</w:t>
      </w:r>
      <w:r w:rsidR="00AE579F" w:rsidRPr="00AE579F">
        <w:t>,</w:t>
      </w:r>
      <w:r w:rsidR="00622B67">
        <w:t>25</w:t>
      </w:r>
      <w:r>
        <w:t xml:space="preserve">%, que </w:t>
      </w:r>
      <w:r w:rsidR="00622B67">
        <w:t xml:space="preserve">corresponde ao valor em julho de 2017 </w:t>
      </w:r>
      <w:r w:rsidR="00AE579F">
        <w:t>da</w:t>
      </w:r>
      <w:r>
        <w:t xml:space="preserve"> taxa básica de juros </w:t>
      </w:r>
      <w:r w:rsidR="00AE579F">
        <w:t xml:space="preserve">(SELIC) </w:t>
      </w:r>
      <w:r>
        <w:t>definida pelo Comitê</w:t>
      </w:r>
      <w:r w:rsidR="00AE579F">
        <w:t xml:space="preserve"> de Política Monetária (COPOM). </w:t>
      </w:r>
      <w:r>
        <w:t xml:space="preserve">A taxa SELIC </w:t>
      </w:r>
      <w:r w:rsidR="00A72F4C">
        <w:t xml:space="preserve">normalmente </w:t>
      </w:r>
      <w:r w:rsidR="00AE579F">
        <w:t xml:space="preserve">tem a função de definir </w:t>
      </w:r>
      <w:r w:rsidR="00A72F4C">
        <w:t>a taxa de desconto</w:t>
      </w:r>
      <w:r>
        <w:t xml:space="preserve"> </w:t>
      </w:r>
      <w:r w:rsidR="00A72F4C">
        <w:t>pois</w:t>
      </w:r>
      <w:r>
        <w:t xml:space="preserve"> os investimentos em títulos do Tesouro Direto </w:t>
      </w:r>
      <w:r w:rsidR="003A7561">
        <w:t xml:space="preserve">estão </w:t>
      </w:r>
      <w:r>
        <w:t>atrelados à sua rentabilidade</w:t>
      </w:r>
      <w:r w:rsidR="00AE579F">
        <w:t xml:space="preserve"> </w:t>
      </w:r>
      <w:r w:rsidR="003A7561">
        <w:t xml:space="preserve">e </w:t>
      </w:r>
      <w:r w:rsidR="00AE579F">
        <w:t xml:space="preserve">são facilmente realizados pelo </w:t>
      </w:r>
      <w:r>
        <w:t>público no mercado, sendo alternativa mai</w:t>
      </w:r>
      <w:r w:rsidRPr="00C91A0F">
        <w:t>s rentável que a poupança, opção de aplic</w:t>
      </w:r>
      <w:r w:rsidR="003A7561" w:rsidRPr="00C91A0F">
        <w:t>ação da maioria dos brasileiros</w:t>
      </w:r>
      <w:r w:rsidR="00A72F4C" w:rsidRPr="00C91A0F">
        <w:t>.</w:t>
      </w:r>
      <w:r w:rsidR="00622B67" w:rsidRPr="00C91A0F">
        <w:t xml:space="preserve"> </w:t>
      </w:r>
      <w:r w:rsidR="00A0628D">
        <w:t>[48]</w:t>
      </w:r>
      <w:r w:rsidR="003A7561">
        <w:t xml:space="preserve"> </w:t>
      </w:r>
    </w:p>
    <w:p w:rsidR="009925D0" w:rsidRDefault="00A72F4C" w:rsidP="00A017BA">
      <w:r>
        <w:t>Apesar do maior mercado de Goma Guar</w:t>
      </w:r>
      <w:r w:rsidR="003A7561">
        <w:t xml:space="preserve"> se localizar na Índia, a moeda de câmbio escolhida para análise dos valores de Goma Guar importada é o dólar. Sua taxa de c</w:t>
      </w:r>
      <w:r w:rsidR="0082082B">
        <w:t xml:space="preserve">âmbio para o cenário padrão foi adotada com referência na cotação média do período atual, que gira em torno de R$ 3,16 por dólar. A </w:t>
      </w:r>
      <w:r w:rsidR="0082082B">
        <w:fldChar w:fldCharType="begin"/>
      </w:r>
      <w:r w:rsidR="0082082B">
        <w:instrText xml:space="preserve"> REF _Ref488282103 \h </w:instrText>
      </w:r>
      <w:r w:rsidR="00A017BA">
        <w:instrText xml:space="preserve"> \* MERGEFORMAT </w:instrText>
      </w:r>
      <w:r w:rsidR="0082082B">
        <w:fldChar w:fldCharType="separate"/>
      </w:r>
      <w:r w:rsidR="00C91A0F">
        <w:t xml:space="preserve">Tabela </w:t>
      </w:r>
      <w:r w:rsidR="00C91A0F">
        <w:rPr>
          <w:noProof/>
        </w:rPr>
        <w:t>12</w:t>
      </w:r>
      <w:r w:rsidR="0082082B">
        <w:fldChar w:fldCharType="end"/>
      </w:r>
      <w:r w:rsidR="0082082B">
        <w:t xml:space="preserve"> </w:t>
      </w:r>
      <w:r w:rsidR="003A7561">
        <w:t>apresenta as tax</w:t>
      </w:r>
      <w:r w:rsidR="0082082B">
        <w:t>as de referência para os cálculos de viabilidade do cenário padrão.</w:t>
      </w:r>
    </w:p>
    <w:p w:rsidR="00B57856" w:rsidRDefault="00B57856" w:rsidP="00A017BA"/>
    <w:p w:rsidR="0082082B" w:rsidRDefault="0082082B" w:rsidP="00C91A0F">
      <w:pPr>
        <w:pStyle w:val="Tabela-PG"/>
      </w:pPr>
      <w:bookmarkStart w:id="191" w:name="_Ref488282103"/>
      <w:bookmarkStart w:id="192" w:name="_Toc488706093"/>
      <w:r>
        <w:t xml:space="preserve">Tabela </w:t>
      </w:r>
      <w:fldSimple w:instr=" SEQ Tabela \* ARABIC ">
        <w:r w:rsidR="00C91A0F">
          <w:rPr>
            <w:noProof/>
          </w:rPr>
          <w:t>12</w:t>
        </w:r>
      </w:fldSimple>
      <w:bookmarkEnd w:id="191"/>
      <w:r w:rsidR="00DB227D">
        <w:t xml:space="preserve"> - </w:t>
      </w:r>
      <w:r>
        <w:t>Taxas de referência para os cálculos de viabilidade econômica do cenário padrão.</w:t>
      </w:r>
      <w:bookmarkEnd w:id="192"/>
    </w:p>
    <w:tbl>
      <w:tblPr>
        <w:tblW w:w="9072" w:type="dxa"/>
        <w:tblLayout w:type="fixed"/>
        <w:tblCellMar>
          <w:left w:w="70" w:type="dxa"/>
          <w:right w:w="70" w:type="dxa"/>
        </w:tblCellMar>
        <w:tblLook w:val="04A0" w:firstRow="1" w:lastRow="0" w:firstColumn="1" w:lastColumn="0" w:noHBand="0" w:noVBand="1"/>
      </w:tblPr>
      <w:tblGrid>
        <w:gridCol w:w="4536"/>
        <w:gridCol w:w="4536"/>
      </w:tblGrid>
      <w:tr w:rsidR="0082082B" w:rsidRPr="0082082B" w:rsidTr="00B57856">
        <w:trPr>
          <w:trHeight w:val="340"/>
        </w:trPr>
        <w:tc>
          <w:tcPr>
            <w:tcW w:w="9072" w:type="dxa"/>
            <w:gridSpan w:val="2"/>
            <w:tcBorders>
              <w:top w:val="single" w:sz="4" w:space="0" w:color="auto"/>
              <w:left w:val="nil"/>
              <w:bottom w:val="single" w:sz="4" w:space="0" w:color="auto"/>
              <w:right w:val="nil"/>
            </w:tcBorders>
            <w:shd w:val="clear" w:color="000000" w:fill="FFFFFF"/>
            <w:noWrap/>
            <w:vAlign w:val="center"/>
            <w:hideMark/>
          </w:tcPr>
          <w:p w:rsidR="0082082B" w:rsidRPr="0082082B" w:rsidRDefault="0082082B" w:rsidP="0082082B">
            <w:pPr>
              <w:spacing w:after="0" w:line="240" w:lineRule="auto"/>
              <w:contextualSpacing w:val="0"/>
              <w:jc w:val="center"/>
              <w:rPr>
                <w:rFonts w:eastAsia="Times New Roman" w:cs="Arial"/>
                <w:b/>
                <w:bCs/>
                <w:i/>
                <w:iCs/>
                <w:color w:val="000000"/>
                <w:szCs w:val="24"/>
                <w:lang w:eastAsia="pt-BR"/>
              </w:rPr>
            </w:pPr>
            <w:r w:rsidRPr="0082082B">
              <w:rPr>
                <w:rFonts w:eastAsia="Times New Roman" w:cs="Arial"/>
                <w:b/>
                <w:bCs/>
                <w:i/>
                <w:iCs/>
                <w:color w:val="000000"/>
                <w:szCs w:val="24"/>
                <w:lang w:eastAsia="pt-BR"/>
              </w:rPr>
              <w:t>Definição das taxas de referência</w:t>
            </w:r>
          </w:p>
        </w:tc>
      </w:tr>
      <w:tr w:rsidR="0082082B" w:rsidRPr="0082082B" w:rsidTr="00B57856">
        <w:trPr>
          <w:trHeight w:val="340"/>
        </w:trPr>
        <w:tc>
          <w:tcPr>
            <w:tcW w:w="4536" w:type="dxa"/>
            <w:tcBorders>
              <w:top w:val="single" w:sz="4" w:space="0" w:color="auto"/>
              <w:left w:val="nil"/>
              <w:bottom w:val="single" w:sz="4" w:space="0" w:color="auto"/>
              <w:right w:val="nil"/>
            </w:tcBorders>
            <w:shd w:val="clear" w:color="000000" w:fill="FFFFFF"/>
            <w:noWrap/>
            <w:vAlign w:val="center"/>
            <w:hideMark/>
          </w:tcPr>
          <w:p w:rsidR="0082082B" w:rsidRPr="0082082B" w:rsidRDefault="0082082B" w:rsidP="0082082B">
            <w:pPr>
              <w:spacing w:after="0" w:line="240" w:lineRule="auto"/>
              <w:contextualSpacing w:val="0"/>
              <w:jc w:val="center"/>
              <w:rPr>
                <w:rFonts w:eastAsia="Times New Roman" w:cs="Arial"/>
                <w:b/>
                <w:bCs/>
                <w:i/>
                <w:iCs/>
                <w:color w:val="000000"/>
                <w:szCs w:val="24"/>
                <w:lang w:eastAsia="pt-BR"/>
              </w:rPr>
            </w:pPr>
            <w:r w:rsidRPr="0082082B">
              <w:rPr>
                <w:rFonts w:eastAsia="Times New Roman" w:cs="Arial"/>
                <w:b/>
                <w:bCs/>
                <w:i/>
                <w:iCs/>
                <w:color w:val="000000"/>
                <w:szCs w:val="24"/>
                <w:lang w:eastAsia="pt-BR"/>
              </w:rPr>
              <w:t>Descrição</w:t>
            </w:r>
          </w:p>
        </w:tc>
        <w:tc>
          <w:tcPr>
            <w:tcW w:w="4536" w:type="dxa"/>
            <w:tcBorders>
              <w:top w:val="single" w:sz="4" w:space="0" w:color="auto"/>
              <w:left w:val="nil"/>
              <w:bottom w:val="single" w:sz="4" w:space="0" w:color="auto"/>
              <w:right w:val="nil"/>
            </w:tcBorders>
            <w:shd w:val="clear" w:color="000000" w:fill="FFFFFF"/>
            <w:noWrap/>
            <w:vAlign w:val="center"/>
            <w:hideMark/>
          </w:tcPr>
          <w:p w:rsidR="0082082B" w:rsidRPr="0082082B" w:rsidRDefault="0082082B" w:rsidP="0082082B">
            <w:pPr>
              <w:spacing w:after="0" w:line="240" w:lineRule="auto"/>
              <w:contextualSpacing w:val="0"/>
              <w:jc w:val="center"/>
              <w:rPr>
                <w:rFonts w:eastAsia="Times New Roman" w:cs="Arial"/>
                <w:b/>
                <w:bCs/>
                <w:i/>
                <w:iCs/>
                <w:color w:val="000000"/>
                <w:szCs w:val="24"/>
                <w:lang w:eastAsia="pt-BR"/>
              </w:rPr>
            </w:pPr>
            <w:r w:rsidRPr="0082082B">
              <w:rPr>
                <w:rFonts w:eastAsia="Times New Roman" w:cs="Arial"/>
                <w:b/>
                <w:bCs/>
                <w:i/>
                <w:iCs/>
                <w:color w:val="000000"/>
                <w:szCs w:val="24"/>
                <w:lang w:eastAsia="pt-BR"/>
              </w:rPr>
              <w:t>Valor</w:t>
            </w:r>
          </w:p>
        </w:tc>
      </w:tr>
      <w:tr w:rsidR="0082082B" w:rsidRPr="0082082B" w:rsidTr="00B57856">
        <w:trPr>
          <w:trHeight w:val="340"/>
        </w:trPr>
        <w:tc>
          <w:tcPr>
            <w:tcW w:w="4536" w:type="dxa"/>
            <w:tcBorders>
              <w:top w:val="single" w:sz="4" w:space="0" w:color="auto"/>
              <w:left w:val="nil"/>
              <w:bottom w:val="single" w:sz="4" w:space="0" w:color="auto"/>
              <w:right w:val="nil"/>
            </w:tcBorders>
            <w:shd w:val="clear" w:color="000000" w:fill="FFFFFF"/>
            <w:noWrap/>
            <w:vAlign w:val="center"/>
            <w:hideMark/>
          </w:tcPr>
          <w:p w:rsidR="0082082B" w:rsidRPr="0082082B" w:rsidRDefault="0082082B" w:rsidP="0082082B">
            <w:pPr>
              <w:spacing w:after="0" w:line="240" w:lineRule="auto"/>
              <w:contextualSpacing w:val="0"/>
              <w:jc w:val="center"/>
              <w:rPr>
                <w:rFonts w:eastAsia="Times New Roman" w:cs="Arial"/>
                <w:color w:val="000000"/>
                <w:szCs w:val="24"/>
                <w:lang w:eastAsia="pt-BR"/>
              </w:rPr>
            </w:pPr>
            <w:r w:rsidRPr="0082082B">
              <w:rPr>
                <w:rFonts w:eastAsia="Times New Roman" w:cs="Arial"/>
                <w:color w:val="000000"/>
                <w:szCs w:val="24"/>
                <w:lang w:eastAsia="pt-BR"/>
              </w:rPr>
              <w:t>Inflação (IPCA)</w:t>
            </w:r>
          </w:p>
        </w:tc>
        <w:tc>
          <w:tcPr>
            <w:tcW w:w="4536" w:type="dxa"/>
            <w:tcBorders>
              <w:top w:val="single" w:sz="4" w:space="0" w:color="auto"/>
              <w:left w:val="nil"/>
              <w:bottom w:val="single" w:sz="4" w:space="0" w:color="auto"/>
              <w:right w:val="nil"/>
            </w:tcBorders>
            <w:shd w:val="clear" w:color="000000" w:fill="FFFFFF"/>
            <w:noWrap/>
            <w:vAlign w:val="center"/>
            <w:hideMark/>
          </w:tcPr>
          <w:p w:rsidR="0082082B" w:rsidRPr="0082082B" w:rsidRDefault="0082082B" w:rsidP="0082082B">
            <w:pPr>
              <w:spacing w:after="0" w:line="240" w:lineRule="auto"/>
              <w:contextualSpacing w:val="0"/>
              <w:jc w:val="center"/>
              <w:rPr>
                <w:rFonts w:eastAsia="Times New Roman" w:cs="Arial"/>
                <w:color w:val="000000"/>
                <w:szCs w:val="24"/>
                <w:lang w:eastAsia="pt-BR"/>
              </w:rPr>
            </w:pPr>
            <w:r w:rsidRPr="0082082B">
              <w:rPr>
                <w:rFonts w:eastAsia="Times New Roman" w:cs="Arial"/>
                <w:color w:val="000000"/>
                <w:szCs w:val="24"/>
                <w:lang w:eastAsia="pt-BR"/>
              </w:rPr>
              <w:t>5,25%</w:t>
            </w:r>
          </w:p>
        </w:tc>
      </w:tr>
      <w:tr w:rsidR="0082082B" w:rsidRPr="0082082B" w:rsidTr="00B57856">
        <w:trPr>
          <w:trHeight w:val="340"/>
        </w:trPr>
        <w:tc>
          <w:tcPr>
            <w:tcW w:w="4536" w:type="dxa"/>
            <w:tcBorders>
              <w:top w:val="single" w:sz="4" w:space="0" w:color="auto"/>
              <w:left w:val="nil"/>
              <w:bottom w:val="single" w:sz="4" w:space="0" w:color="auto"/>
              <w:right w:val="nil"/>
            </w:tcBorders>
            <w:shd w:val="clear" w:color="000000" w:fill="FFFFFF"/>
            <w:noWrap/>
            <w:vAlign w:val="center"/>
            <w:hideMark/>
          </w:tcPr>
          <w:p w:rsidR="0082082B" w:rsidRPr="0082082B" w:rsidRDefault="0082082B" w:rsidP="0082082B">
            <w:pPr>
              <w:spacing w:after="0" w:line="240" w:lineRule="auto"/>
              <w:contextualSpacing w:val="0"/>
              <w:jc w:val="center"/>
              <w:rPr>
                <w:rFonts w:eastAsia="Times New Roman" w:cs="Arial"/>
                <w:color w:val="000000"/>
                <w:szCs w:val="24"/>
                <w:lang w:eastAsia="pt-BR"/>
              </w:rPr>
            </w:pPr>
            <w:r w:rsidRPr="0082082B">
              <w:rPr>
                <w:rFonts w:eastAsia="Times New Roman" w:cs="Arial"/>
                <w:color w:val="000000"/>
                <w:szCs w:val="24"/>
                <w:lang w:eastAsia="pt-BR"/>
              </w:rPr>
              <w:t>Taxa SELIC</w:t>
            </w:r>
          </w:p>
        </w:tc>
        <w:tc>
          <w:tcPr>
            <w:tcW w:w="4536" w:type="dxa"/>
            <w:tcBorders>
              <w:top w:val="single" w:sz="4" w:space="0" w:color="auto"/>
              <w:left w:val="nil"/>
              <w:bottom w:val="single" w:sz="4" w:space="0" w:color="auto"/>
              <w:right w:val="nil"/>
            </w:tcBorders>
            <w:shd w:val="clear" w:color="000000" w:fill="FFFFFF"/>
            <w:noWrap/>
            <w:vAlign w:val="center"/>
            <w:hideMark/>
          </w:tcPr>
          <w:p w:rsidR="0082082B" w:rsidRPr="0082082B" w:rsidRDefault="0082082B" w:rsidP="0082082B">
            <w:pPr>
              <w:spacing w:after="0" w:line="240" w:lineRule="auto"/>
              <w:contextualSpacing w:val="0"/>
              <w:jc w:val="center"/>
              <w:rPr>
                <w:rFonts w:eastAsia="Times New Roman" w:cs="Arial"/>
                <w:color w:val="000000"/>
                <w:szCs w:val="24"/>
                <w:lang w:eastAsia="pt-BR"/>
              </w:rPr>
            </w:pPr>
            <w:r w:rsidRPr="0082082B">
              <w:rPr>
                <w:rFonts w:eastAsia="Times New Roman" w:cs="Arial"/>
                <w:color w:val="000000"/>
                <w:szCs w:val="24"/>
                <w:lang w:eastAsia="pt-BR"/>
              </w:rPr>
              <w:t>10,25%</w:t>
            </w:r>
          </w:p>
        </w:tc>
      </w:tr>
      <w:tr w:rsidR="0082082B" w:rsidRPr="0082082B" w:rsidTr="00B57856">
        <w:trPr>
          <w:trHeight w:val="340"/>
        </w:trPr>
        <w:tc>
          <w:tcPr>
            <w:tcW w:w="4536" w:type="dxa"/>
            <w:tcBorders>
              <w:top w:val="single" w:sz="4" w:space="0" w:color="auto"/>
              <w:left w:val="nil"/>
              <w:bottom w:val="single" w:sz="4" w:space="0" w:color="auto"/>
              <w:right w:val="nil"/>
            </w:tcBorders>
            <w:shd w:val="clear" w:color="000000" w:fill="FFFFFF"/>
            <w:noWrap/>
            <w:vAlign w:val="center"/>
            <w:hideMark/>
          </w:tcPr>
          <w:p w:rsidR="0082082B" w:rsidRPr="0082082B" w:rsidRDefault="0082082B" w:rsidP="0082082B">
            <w:pPr>
              <w:spacing w:after="0" w:line="240" w:lineRule="auto"/>
              <w:contextualSpacing w:val="0"/>
              <w:jc w:val="center"/>
              <w:rPr>
                <w:rFonts w:eastAsia="Times New Roman" w:cs="Arial"/>
                <w:color w:val="000000"/>
                <w:szCs w:val="24"/>
                <w:lang w:eastAsia="pt-BR"/>
              </w:rPr>
            </w:pPr>
            <w:r w:rsidRPr="0082082B">
              <w:rPr>
                <w:rFonts w:eastAsia="Times New Roman" w:cs="Arial"/>
                <w:color w:val="000000"/>
                <w:szCs w:val="24"/>
                <w:lang w:eastAsia="pt-BR"/>
              </w:rPr>
              <w:t>Cotação do Dólar</w:t>
            </w:r>
          </w:p>
        </w:tc>
        <w:tc>
          <w:tcPr>
            <w:tcW w:w="4536" w:type="dxa"/>
            <w:tcBorders>
              <w:top w:val="single" w:sz="4" w:space="0" w:color="auto"/>
              <w:left w:val="nil"/>
              <w:bottom w:val="single" w:sz="4" w:space="0" w:color="auto"/>
              <w:right w:val="nil"/>
            </w:tcBorders>
            <w:shd w:val="clear" w:color="000000" w:fill="FFFFFF"/>
            <w:noWrap/>
            <w:vAlign w:val="center"/>
            <w:hideMark/>
          </w:tcPr>
          <w:p w:rsidR="0082082B" w:rsidRPr="0082082B" w:rsidRDefault="0082082B" w:rsidP="0082082B">
            <w:pPr>
              <w:spacing w:after="0" w:line="240" w:lineRule="auto"/>
              <w:contextualSpacing w:val="0"/>
              <w:jc w:val="center"/>
              <w:rPr>
                <w:rFonts w:eastAsia="Times New Roman" w:cs="Arial"/>
                <w:color w:val="000000"/>
                <w:szCs w:val="24"/>
                <w:lang w:eastAsia="pt-BR"/>
              </w:rPr>
            </w:pPr>
            <w:r>
              <w:rPr>
                <w:rFonts w:eastAsia="Times New Roman" w:cs="Arial"/>
                <w:color w:val="000000"/>
                <w:szCs w:val="24"/>
                <w:lang w:eastAsia="pt-BR"/>
              </w:rPr>
              <w:t xml:space="preserve"> R$</w:t>
            </w:r>
            <w:r w:rsidRPr="0082082B">
              <w:rPr>
                <w:rFonts w:eastAsia="Times New Roman" w:cs="Arial"/>
                <w:color w:val="000000"/>
                <w:szCs w:val="24"/>
                <w:lang w:eastAsia="pt-BR"/>
              </w:rPr>
              <w:t xml:space="preserve"> 3,16 </w:t>
            </w:r>
          </w:p>
        </w:tc>
      </w:tr>
    </w:tbl>
    <w:p w:rsidR="003A7561" w:rsidRDefault="00C91A0F" w:rsidP="00A017BA">
      <w:pPr>
        <w:jc w:val="center"/>
      </w:pPr>
      <w:r>
        <w:t>Fonte: Autoria própria</w:t>
      </w:r>
    </w:p>
    <w:p w:rsidR="00425F3C" w:rsidRDefault="00425F3C" w:rsidP="00425F3C">
      <w:pPr>
        <w:pStyle w:val="Nvel2-PG"/>
      </w:pPr>
      <w:bookmarkStart w:id="193" w:name="_Toc488678385"/>
      <w:r>
        <w:t>5.4 Análise de sensibilidade</w:t>
      </w:r>
      <w:bookmarkEnd w:id="193"/>
    </w:p>
    <w:p w:rsidR="009149A8" w:rsidRDefault="00425F3C" w:rsidP="00A017BA">
      <w:r>
        <w:t xml:space="preserve">Qualquer investimento em projetos possui risco. E estes riscos são maiores para projetos que tenham horizonte temporal longo. </w:t>
      </w:r>
      <w:r w:rsidR="006749C4">
        <w:t xml:space="preserve">Tendo isto em vista, e considerando que o sistema considerado neste estudo de caso tenha vida útil de cerca de 20 anos, </w:t>
      </w:r>
      <w:r w:rsidR="006749C4">
        <w:lastRenderedPageBreak/>
        <w:t>é necessário ensaiar diversos cenários para averiguar a viabilidade do projeto. Os parâmetros variados nesta análise serão as taxas previstas para o cenário padrão no item 5.3. Para a inflação, ser</w:t>
      </w:r>
      <w:r w:rsidR="00772747">
        <w:t>ão utilizados os valores da meta</w:t>
      </w:r>
      <w:r w:rsidR="006749C4">
        <w:t xml:space="preserve"> e</w:t>
      </w:r>
      <w:r w:rsidR="00772747">
        <w:t xml:space="preserve"> do</w:t>
      </w:r>
      <w:r w:rsidR="006749C4">
        <w:t xml:space="preserve"> teto da inflação</w:t>
      </w:r>
      <w:r w:rsidR="00772747">
        <w:t xml:space="preserve"> informados através da</w:t>
      </w:r>
      <w:r w:rsidR="006749C4">
        <w:t xml:space="preserve"> </w:t>
      </w:r>
      <w:r w:rsidR="006749C4" w:rsidRPr="006749C4">
        <w:t>Resolução nº 4.582</w:t>
      </w:r>
      <w:r w:rsidR="006749C4">
        <w:t xml:space="preserve"> do Banco Central.</w:t>
      </w:r>
      <w:r w:rsidR="006749C4" w:rsidRPr="006749C4">
        <w:t xml:space="preserve"> </w:t>
      </w:r>
      <w:r w:rsidR="006749C4">
        <w:t xml:space="preserve">Para a taxa de desconto, considera-se a variação compreendendo entre a poupança (correspondente a </w:t>
      </w:r>
      <w:r w:rsidR="006749C4" w:rsidRPr="006749C4">
        <w:t>0,5% ao mês, enquanto a meta da taxa SELIC ao ano for superior a 8,5%</w:t>
      </w:r>
      <w:r w:rsidR="006749C4">
        <w:t>)</w:t>
      </w:r>
      <w:r w:rsidR="009149A8">
        <w:t xml:space="preserve"> e uma taxa mínima de atrati</w:t>
      </w:r>
      <w:r w:rsidR="00772747">
        <w:t>v</w:t>
      </w:r>
      <w:r w:rsidR="00865455">
        <w:t>idade imposta por clientes mais</w:t>
      </w:r>
      <w:r w:rsidR="009149A8">
        <w:t xml:space="preserve"> exigentes. A variação da taxa de câmbio foi definida como sendo entre o menor e o maior valor atingido na última década.</w:t>
      </w:r>
      <w:r w:rsidR="007F755C">
        <w:t xml:space="preserve"> A </w:t>
      </w:r>
      <w:r w:rsidR="007F755C">
        <w:fldChar w:fldCharType="begin"/>
      </w:r>
      <w:r w:rsidR="007F755C">
        <w:instrText xml:space="preserve"> REF _Ref488283844 \h </w:instrText>
      </w:r>
      <w:r w:rsidR="00A017BA">
        <w:instrText xml:space="preserve"> \* MERGEFORMAT </w:instrText>
      </w:r>
      <w:r w:rsidR="007F755C">
        <w:fldChar w:fldCharType="separate"/>
      </w:r>
      <w:r w:rsidR="00C91A0F">
        <w:t xml:space="preserve">Tabela </w:t>
      </w:r>
      <w:r w:rsidR="00C91A0F">
        <w:rPr>
          <w:noProof/>
        </w:rPr>
        <w:t>13</w:t>
      </w:r>
      <w:r w:rsidR="007F755C">
        <w:fldChar w:fldCharType="end"/>
      </w:r>
      <w:r w:rsidR="009149A8">
        <w:t xml:space="preserve"> exibe estes valores.</w:t>
      </w:r>
    </w:p>
    <w:p w:rsidR="007F755C" w:rsidRDefault="007F755C" w:rsidP="00C91A0F">
      <w:pPr>
        <w:pStyle w:val="Tabela-PG"/>
      </w:pPr>
      <w:bookmarkStart w:id="194" w:name="_Ref488283844"/>
      <w:bookmarkStart w:id="195" w:name="_Toc488706094"/>
      <w:r>
        <w:t xml:space="preserve">Tabela </w:t>
      </w:r>
      <w:fldSimple w:instr=" SEQ Tabela \* ARABIC ">
        <w:r w:rsidR="00C91A0F">
          <w:rPr>
            <w:noProof/>
          </w:rPr>
          <w:t>13</w:t>
        </w:r>
      </w:fldSimple>
      <w:bookmarkEnd w:id="194"/>
      <w:r w:rsidR="00DB227D">
        <w:t xml:space="preserve"> - </w:t>
      </w:r>
      <w:r>
        <w:t>Definição dos máximos e mínimos para as taxas sensíveis a mudanças ao longo do tempo.</w:t>
      </w:r>
      <w:bookmarkEnd w:id="195"/>
    </w:p>
    <w:tbl>
      <w:tblPr>
        <w:tblW w:w="9072" w:type="dxa"/>
        <w:tblLayout w:type="fixed"/>
        <w:tblCellMar>
          <w:left w:w="70" w:type="dxa"/>
          <w:right w:w="70" w:type="dxa"/>
        </w:tblCellMar>
        <w:tblLook w:val="04A0" w:firstRow="1" w:lastRow="0" w:firstColumn="1" w:lastColumn="0" w:noHBand="0" w:noVBand="1"/>
      </w:tblPr>
      <w:tblGrid>
        <w:gridCol w:w="2268"/>
        <w:gridCol w:w="2268"/>
        <w:gridCol w:w="2268"/>
        <w:gridCol w:w="2268"/>
      </w:tblGrid>
      <w:tr w:rsidR="007F755C" w:rsidRPr="00186BCD" w:rsidTr="00B57856">
        <w:trPr>
          <w:trHeight w:val="340"/>
        </w:trPr>
        <w:tc>
          <w:tcPr>
            <w:tcW w:w="9072" w:type="dxa"/>
            <w:gridSpan w:val="4"/>
            <w:tcBorders>
              <w:top w:val="single" w:sz="4" w:space="0" w:color="auto"/>
              <w:left w:val="nil"/>
              <w:bottom w:val="single" w:sz="4" w:space="0" w:color="auto"/>
              <w:right w:val="nil"/>
            </w:tcBorders>
            <w:shd w:val="clear" w:color="000000" w:fill="FFFFFF"/>
            <w:noWrap/>
            <w:vAlign w:val="center"/>
            <w:hideMark/>
          </w:tcPr>
          <w:p w:rsidR="007F755C" w:rsidRPr="00186BCD" w:rsidRDefault="007F755C" w:rsidP="005E7B36">
            <w:pPr>
              <w:spacing w:after="0" w:line="240" w:lineRule="auto"/>
              <w:contextualSpacing w:val="0"/>
              <w:jc w:val="center"/>
              <w:rPr>
                <w:rFonts w:eastAsia="Times New Roman" w:cs="Arial"/>
                <w:b/>
                <w:bCs/>
                <w:i/>
                <w:iCs/>
                <w:color w:val="000000"/>
                <w:szCs w:val="24"/>
                <w:lang w:eastAsia="pt-BR"/>
              </w:rPr>
            </w:pPr>
            <w:r w:rsidRPr="00186BCD">
              <w:rPr>
                <w:rFonts w:eastAsia="Times New Roman" w:cs="Arial"/>
                <w:b/>
                <w:bCs/>
                <w:i/>
                <w:iCs/>
                <w:color w:val="000000"/>
                <w:szCs w:val="24"/>
                <w:lang w:eastAsia="pt-BR"/>
              </w:rPr>
              <w:t>Análise de Sensibilidade das taxas</w:t>
            </w:r>
          </w:p>
        </w:tc>
      </w:tr>
      <w:tr w:rsidR="007F755C" w:rsidRPr="00186BCD" w:rsidTr="00B57856">
        <w:trPr>
          <w:trHeight w:val="340"/>
        </w:trPr>
        <w:tc>
          <w:tcPr>
            <w:tcW w:w="2268" w:type="dxa"/>
            <w:tcBorders>
              <w:top w:val="single" w:sz="4" w:space="0" w:color="auto"/>
              <w:left w:val="nil"/>
              <w:bottom w:val="single" w:sz="4" w:space="0" w:color="auto"/>
              <w:right w:val="nil"/>
            </w:tcBorders>
            <w:shd w:val="clear" w:color="000000" w:fill="FFFFFF"/>
            <w:noWrap/>
            <w:vAlign w:val="center"/>
            <w:hideMark/>
          </w:tcPr>
          <w:p w:rsidR="007F755C" w:rsidRPr="00186BCD" w:rsidRDefault="007F755C" w:rsidP="005E7B36">
            <w:pPr>
              <w:spacing w:after="0" w:line="240" w:lineRule="auto"/>
              <w:contextualSpacing w:val="0"/>
              <w:jc w:val="center"/>
              <w:rPr>
                <w:rFonts w:eastAsia="Times New Roman" w:cs="Arial"/>
                <w:b/>
                <w:bCs/>
                <w:i/>
                <w:iCs/>
                <w:color w:val="000000"/>
                <w:szCs w:val="24"/>
                <w:lang w:eastAsia="pt-BR"/>
              </w:rPr>
            </w:pPr>
            <w:r w:rsidRPr="00186BCD">
              <w:rPr>
                <w:rFonts w:eastAsia="Times New Roman" w:cs="Arial"/>
                <w:b/>
                <w:bCs/>
                <w:i/>
                <w:iCs/>
                <w:color w:val="000000"/>
                <w:szCs w:val="24"/>
                <w:lang w:eastAsia="pt-BR"/>
              </w:rPr>
              <w:t>Descrição</w:t>
            </w:r>
          </w:p>
        </w:tc>
        <w:tc>
          <w:tcPr>
            <w:tcW w:w="2268" w:type="dxa"/>
            <w:tcBorders>
              <w:top w:val="single" w:sz="4" w:space="0" w:color="auto"/>
              <w:left w:val="nil"/>
              <w:bottom w:val="single" w:sz="4" w:space="0" w:color="auto"/>
              <w:right w:val="nil"/>
            </w:tcBorders>
            <w:shd w:val="clear" w:color="000000" w:fill="FFFFFF"/>
            <w:noWrap/>
            <w:vAlign w:val="center"/>
            <w:hideMark/>
          </w:tcPr>
          <w:p w:rsidR="007F755C" w:rsidRPr="00186BCD" w:rsidRDefault="007F755C" w:rsidP="005E7B36">
            <w:pPr>
              <w:spacing w:after="0" w:line="240" w:lineRule="auto"/>
              <w:contextualSpacing w:val="0"/>
              <w:jc w:val="center"/>
              <w:rPr>
                <w:rFonts w:eastAsia="Times New Roman" w:cs="Arial"/>
                <w:b/>
                <w:bCs/>
                <w:i/>
                <w:iCs/>
                <w:color w:val="000000"/>
                <w:szCs w:val="24"/>
                <w:lang w:eastAsia="pt-BR"/>
              </w:rPr>
            </w:pPr>
            <w:r w:rsidRPr="00186BCD">
              <w:rPr>
                <w:rFonts w:eastAsia="Times New Roman" w:cs="Arial"/>
                <w:b/>
                <w:bCs/>
                <w:i/>
                <w:iCs/>
                <w:color w:val="000000"/>
                <w:szCs w:val="24"/>
                <w:lang w:eastAsia="pt-BR"/>
              </w:rPr>
              <w:t>Cenário com folga</w:t>
            </w:r>
          </w:p>
        </w:tc>
        <w:tc>
          <w:tcPr>
            <w:tcW w:w="2268" w:type="dxa"/>
            <w:tcBorders>
              <w:top w:val="single" w:sz="4" w:space="0" w:color="auto"/>
              <w:left w:val="nil"/>
              <w:bottom w:val="single" w:sz="4" w:space="0" w:color="auto"/>
              <w:right w:val="nil"/>
            </w:tcBorders>
            <w:shd w:val="clear" w:color="000000" w:fill="FFFFFF"/>
            <w:noWrap/>
            <w:vAlign w:val="center"/>
            <w:hideMark/>
          </w:tcPr>
          <w:p w:rsidR="007F755C" w:rsidRPr="00186BCD" w:rsidRDefault="007F755C" w:rsidP="005E7B36">
            <w:pPr>
              <w:spacing w:after="0" w:line="240" w:lineRule="auto"/>
              <w:contextualSpacing w:val="0"/>
              <w:jc w:val="center"/>
              <w:rPr>
                <w:rFonts w:eastAsia="Times New Roman" w:cs="Arial"/>
                <w:b/>
                <w:bCs/>
                <w:i/>
                <w:iCs/>
                <w:color w:val="000000"/>
                <w:szCs w:val="24"/>
                <w:lang w:eastAsia="pt-BR"/>
              </w:rPr>
            </w:pPr>
            <w:r w:rsidRPr="00186BCD">
              <w:rPr>
                <w:rFonts w:eastAsia="Times New Roman" w:cs="Arial"/>
                <w:b/>
                <w:bCs/>
                <w:i/>
                <w:iCs/>
                <w:color w:val="000000"/>
                <w:szCs w:val="24"/>
                <w:lang w:eastAsia="pt-BR"/>
              </w:rPr>
              <w:t>Cenário Padrão</w:t>
            </w:r>
          </w:p>
        </w:tc>
        <w:tc>
          <w:tcPr>
            <w:tcW w:w="2268" w:type="dxa"/>
            <w:tcBorders>
              <w:top w:val="single" w:sz="4" w:space="0" w:color="auto"/>
              <w:left w:val="nil"/>
              <w:bottom w:val="single" w:sz="4" w:space="0" w:color="auto"/>
              <w:right w:val="nil"/>
            </w:tcBorders>
            <w:shd w:val="clear" w:color="000000" w:fill="FFFFFF"/>
            <w:noWrap/>
            <w:vAlign w:val="center"/>
            <w:hideMark/>
          </w:tcPr>
          <w:p w:rsidR="007F755C" w:rsidRPr="00186BCD" w:rsidRDefault="007F755C" w:rsidP="005E7B36">
            <w:pPr>
              <w:spacing w:after="0" w:line="240" w:lineRule="auto"/>
              <w:contextualSpacing w:val="0"/>
              <w:jc w:val="center"/>
              <w:rPr>
                <w:rFonts w:eastAsia="Times New Roman" w:cs="Arial"/>
                <w:b/>
                <w:bCs/>
                <w:i/>
                <w:iCs/>
                <w:color w:val="000000"/>
                <w:szCs w:val="24"/>
                <w:lang w:eastAsia="pt-BR"/>
              </w:rPr>
            </w:pPr>
            <w:r w:rsidRPr="00186BCD">
              <w:rPr>
                <w:rFonts w:eastAsia="Times New Roman" w:cs="Arial"/>
                <w:b/>
                <w:bCs/>
                <w:i/>
                <w:iCs/>
                <w:color w:val="000000"/>
                <w:szCs w:val="24"/>
                <w:lang w:eastAsia="pt-BR"/>
              </w:rPr>
              <w:t>Cenário Exigente</w:t>
            </w:r>
          </w:p>
        </w:tc>
      </w:tr>
      <w:tr w:rsidR="007F755C" w:rsidRPr="00186BCD" w:rsidTr="00B57856">
        <w:trPr>
          <w:trHeight w:val="340"/>
        </w:trPr>
        <w:tc>
          <w:tcPr>
            <w:tcW w:w="2268" w:type="dxa"/>
            <w:tcBorders>
              <w:top w:val="single" w:sz="4" w:space="0" w:color="auto"/>
              <w:left w:val="nil"/>
              <w:bottom w:val="single" w:sz="4" w:space="0" w:color="auto"/>
              <w:right w:val="nil"/>
            </w:tcBorders>
            <w:shd w:val="clear" w:color="000000" w:fill="FFFFFF"/>
            <w:noWrap/>
            <w:vAlign w:val="center"/>
            <w:hideMark/>
          </w:tcPr>
          <w:p w:rsidR="007F755C" w:rsidRPr="00186BCD" w:rsidRDefault="007F755C" w:rsidP="005E7B36">
            <w:pPr>
              <w:spacing w:after="0" w:line="240" w:lineRule="auto"/>
              <w:contextualSpacing w:val="0"/>
              <w:jc w:val="center"/>
              <w:rPr>
                <w:rFonts w:eastAsia="Times New Roman" w:cs="Arial"/>
                <w:color w:val="000000"/>
                <w:szCs w:val="24"/>
                <w:lang w:eastAsia="pt-BR"/>
              </w:rPr>
            </w:pPr>
            <w:r w:rsidRPr="00186BCD">
              <w:rPr>
                <w:rFonts w:eastAsia="Times New Roman" w:cs="Arial"/>
                <w:color w:val="000000"/>
                <w:szCs w:val="24"/>
                <w:lang w:eastAsia="pt-BR"/>
              </w:rPr>
              <w:t>Inflação (IPCA)</w:t>
            </w:r>
          </w:p>
        </w:tc>
        <w:tc>
          <w:tcPr>
            <w:tcW w:w="2268" w:type="dxa"/>
            <w:tcBorders>
              <w:top w:val="single" w:sz="4" w:space="0" w:color="auto"/>
              <w:left w:val="nil"/>
              <w:bottom w:val="single" w:sz="4" w:space="0" w:color="auto"/>
              <w:right w:val="nil"/>
            </w:tcBorders>
            <w:shd w:val="clear" w:color="000000" w:fill="FFFFFF"/>
            <w:noWrap/>
            <w:vAlign w:val="center"/>
            <w:hideMark/>
          </w:tcPr>
          <w:p w:rsidR="007F755C" w:rsidRPr="00186BCD" w:rsidRDefault="007F755C" w:rsidP="005E7B36">
            <w:pPr>
              <w:spacing w:after="0" w:line="240" w:lineRule="auto"/>
              <w:contextualSpacing w:val="0"/>
              <w:jc w:val="center"/>
              <w:rPr>
                <w:rFonts w:eastAsia="Times New Roman" w:cs="Arial"/>
                <w:color w:val="000000"/>
                <w:szCs w:val="24"/>
                <w:lang w:eastAsia="pt-BR"/>
              </w:rPr>
            </w:pPr>
            <w:r w:rsidRPr="00186BCD">
              <w:rPr>
                <w:rFonts w:eastAsia="Times New Roman" w:cs="Arial"/>
                <w:color w:val="000000"/>
                <w:szCs w:val="24"/>
                <w:lang w:eastAsia="pt-BR"/>
              </w:rPr>
              <w:t>4,25%</w:t>
            </w:r>
          </w:p>
        </w:tc>
        <w:tc>
          <w:tcPr>
            <w:tcW w:w="2268" w:type="dxa"/>
            <w:tcBorders>
              <w:top w:val="single" w:sz="4" w:space="0" w:color="auto"/>
              <w:left w:val="nil"/>
              <w:bottom w:val="single" w:sz="4" w:space="0" w:color="auto"/>
              <w:right w:val="nil"/>
            </w:tcBorders>
            <w:shd w:val="clear" w:color="000000" w:fill="FFFFFF"/>
            <w:noWrap/>
            <w:vAlign w:val="center"/>
            <w:hideMark/>
          </w:tcPr>
          <w:p w:rsidR="007F755C" w:rsidRPr="00186BCD" w:rsidRDefault="007F755C" w:rsidP="005E7B36">
            <w:pPr>
              <w:spacing w:after="0" w:line="240" w:lineRule="auto"/>
              <w:contextualSpacing w:val="0"/>
              <w:jc w:val="center"/>
              <w:rPr>
                <w:rFonts w:eastAsia="Times New Roman" w:cs="Arial"/>
                <w:color w:val="000000"/>
                <w:szCs w:val="24"/>
                <w:lang w:eastAsia="pt-BR"/>
              </w:rPr>
            </w:pPr>
            <w:r w:rsidRPr="00186BCD">
              <w:rPr>
                <w:rFonts w:eastAsia="Times New Roman" w:cs="Arial"/>
                <w:color w:val="000000"/>
                <w:szCs w:val="24"/>
                <w:lang w:eastAsia="pt-BR"/>
              </w:rPr>
              <w:t>5,25%</w:t>
            </w:r>
          </w:p>
        </w:tc>
        <w:tc>
          <w:tcPr>
            <w:tcW w:w="2268" w:type="dxa"/>
            <w:tcBorders>
              <w:top w:val="single" w:sz="4" w:space="0" w:color="auto"/>
              <w:left w:val="nil"/>
              <w:bottom w:val="single" w:sz="4" w:space="0" w:color="auto"/>
              <w:right w:val="nil"/>
            </w:tcBorders>
            <w:shd w:val="clear" w:color="000000" w:fill="FFFFFF"/>
            <w:noWrap/>
            <w:vAlign w:val="center"/>
            <w:hideMark/>
          </w:tcPr>
          <w:p w:rsidR="007F755C" w:rsidRPr="00186BCD" w:rsidRDefault="007F755C" w:rsidP="005E7B36">
            <w:pPr>
              <w:spacing w:after="0" w:line="240" w:lineRule="auto"/>
              <w:contextualSpacing w:val="0"/>
              <w:jc w:val="center"/>
              <w:rPr>
                <w:rFonts w:eastAsia="Times New Roman" w:cs="Arial"/>
                <w:color w:val="000000"/>
                <w:szCs w:val="24"/>
                <w:lang w:eastAsia="pt-BR"/>
              </w:rPr>
            </w:pPr>
            <w:r w:rsidRPr="00186BCD">
              <w:rPr>
                <w:rFonts w:eastAsia="Times New Roman" w:cs="Arial"/>
                <w:color w:val="000000"/>
                <w:szCs w:val="24"/>
                <w:lang w:eastAsia="pt-BR"/>
              </w:rPr>
              <w:t>5,75%</w:t>
            </w:r>
          </w:p>
        </w:tc>
      </w:tr>
      <w:tr w:rsidR="007F755C" w:rsidRPr="00186BCD" w:rsidTr="00B57856">
        <w:trPr>
          <w:trHeight w:val="340"/>
        </w:trPr>
        <w:tc>
          <w:tcPr>
            <w:tcW w:w="2268" w:type="dxa"/>
            <w:tcBorders>
              <w:top w:val="single" w:sz="4" w:space="0" w:color="auto"/>
              <w:left w:val="nil"/>
              <w:bottom w:val="single" w:sz="4" w:space="0" w:color="auto"/>
              <w:right w:val="nil"/>
            </w:tcBorders>
            <w:shd w:val="clear" w:color="000000" w:fill="FFFFFF"/>
            <w:noWrap/>
            <w:vAlign w:val="center"/>
            <w:hideMark/>
          </w:tcPr>
          <w:p w:rsidR="007F755C" w:rsidRPr="00186BCD" w:rsidRDefault="007F755C" w:rsidP="005E7B36">
            <w:pPr>
              <w:spacing w:after="0" w:line="240" w:lineRule="auto"/>
              <w:contextualSpacing w:val="0"/>
              <w:jc w:val="center"/>
              <w:rPr>
                <w:rFonts w:eastAsia="Times New Roman" w:cs="Arial"/>
                <w:color w:val="000000"/>
                <w:szCs w:val="24"/>
                <w:lang w:eastAsia="pt-BR"/>
              </w:rPr>
            </w:pPr>
            <w:r w:rsidRPr="00186BCD">
              <w:rPr>
                <w:rFonts w:eastAsia="Times New Roman" w:cs="Arial"/>
                <w:color w:val="000000"/>
                <w:szCs w:val="24"/>
                <w:lang w:eastAsia="pt-BR"/>
              </w:rPr>
              <w:t>Taxa de Desconto</w:t>
            </w:r>
          </w:p>
        </w:tc>
        <w:tc>
          <w:tcPr>
            <w:tcW w:w="2268" w:type="dxa"/>
            <w:tcBorders>
              <w:top w:val="single" w:sz="4" w:space="0" w:color="auto"/>
              <w:left w:val="nil"/>
              <w:bottom w:val="single" w:sz="4" w:space="0" w:color="auto"/>
              <w:right w:val="nil"/>
            </w:tcBorders>
            <w:shd w:val="clear" w:color="000000" w:fill="FFFFFF"/>
            <w:noWrap/>
            <w:vAlign w:val="center"/>
            <w:hideMark/>
          </w:tcPr>
          <w:p w:rsidR="007F755C" w:rsidRPr="00186BCD" w:rsidRDefault="007F755C" w:rsidP="005E7B36">
            <w:pPr>
              <w:spacing w:after="0" w:line="240" w:lineRule="auto"/>
              <w:contextualSpacing w:val="0"/>
              <w:jc w:val="center"/>
              <w:rPr>
                <w:rFonts w:eastAsia="Times New Roman" w:cs="Arial"/>
                <w:color w:val="000000"/>
                <w:szCs w:val="24"/>
                <w:lang w:eastAsia="pt-BR"/>
              </w:rPr>
            </w:pPr>
            <w:r w:rsidRPr="00186BCD">
              <w:rPr>
                <w:rFonts w:eastAsia="Times New Roman" w:cs="Arial"/>
                <w:color w:val="000000"/>
                <w:szCs w:val="24"/>
                <w:lang w:eastAsia="pt-BR"/>
              </w:rPr>
              <w:t>6,17%</w:t>
            </w:r>
          </w:p>
        </w:tc>
        <w:tc>
          <w:tcPr>
            <w:tcW w:w="2268" w:type="dxa"/>
            <w:tcBorders>
              <w:top w:val="single" w:sz="4" w:space="0" w:color="auto"/>
              <w:left w:val="nil"/>
              <w:bottom w:val="single" w:sz="4" w:space="0" w:color="auto"/>
              <w:right w:val="nil"/>
            </w:tcBorders>
            <w:shd w:val="clear" w:color="000000" w:fill="FFFFFF"/>
            <w:noWrap/>
            <w:vAlign w:val="center"/>
            <w:hideMark/>
          </w:tcPr>
          <w:p w:rsidR="007F755C" w:rsidRPr="00186BCD" w:rsidRDefault="007F755C" w:rsidP="005E7B36">
            <w:pPr>
              <w:spacing w:after="0" w:line="240" w:lineRule="auto"/>
              <w:contextualSpacing w:val="0"/>
              <w:jc w:val="center"/>
              <w:rPr>
                <w:rFonts w:eastAsia="Times New Roman" w:cs="Arial"/>
                <w:color w:val="000000"/>
                <w:szCs w:val="24"/>
                <w:lang w:eastAsia="pt-BR"/>
              </w:rPr>
            </w:pPr>
            <w:r w:rsidRPr="00186BCD">
              <w:rPr>
                <w:rFonts w:eastAsia="Times New Roman" w:cs="Arial"/>
                <w:color w:val="000000"/>
                <w:szCs w:val="24"/>
                <w:lang w:eastAsia="pt-BR"/>
              </w:rPr>
              <w:t>10,25%</w:t>
            </w:r>
          </w:p>
        </w:tc>
        <w:tc>
          <w:tcPr>
            <w:tcW w:w="2268" w:type="dxa"/>
            <w:tcBorders>
              <w:top w:val="single" w:sz="4" w:space="0" w:color="auto"/>
              <w:left w:val="nil"/>
              <w:bottom w:val="single" w:sz="4" w:space="0" w:color="auto"/>
              <w:right w:val="nil"/>
            </w:tcBorders>
            <w:shd w:val="clear" w:color="000000" w:fill="FFFFFF"/>
            <w:noWrap/>
            <w:vAlign w:val="center"/>
            <w:hideMark/>
          </w:tcPr>
          <w:p w:rsidR="007F755C" w:rsidRPr="00186BCD" w:rsidRDefault="007F755C" w:rsidP="002435D4">
            <w:pPr>
              <w:spacing w:after="0" w:line="240" w:lineRule="auto"/>
              <w:contextualSpacing w:val="0"/>
              <w:jc w:val="center"/>
              <w:rPr>
                <w:rFonts w:eastAsia="Times New Roman" w:cs="Arial"/>
                <w:color w:val="000000"/>
                <w:szCs w:val="24"/>
                <w:lang w:eastAsia="pt-BR"/>
              </w:rPr>
            </w:pPr>
            <w:r w:rsidRPr="00186BCD">
              <w:rPr>
                <w:rFonts w:eastAsia="Times New Roman" w:cs="Arial"/>
                <w:color w:val="000000"/>
                <w:szCs w:val="24"/>
                <w:lang w:eastAsia="pt-BR"/>
              </w:rPr>
              <w:t>1</w:t>
            </w:r>
            <w:r w:rsidR="002435D4">
              <w:rPr>
                <w:rFonts w:eastAsia="Times New Roman" w:cs="Arial"/>
                <w:color w:val="000000"/>
                <w:szCs w:val="24"/>
                <w:lang w:eastAsia="pt-BR"/>
              </w:rPr>
              <w:t>4</w:t>
            </w:r>
            <w:r w:rsidRPr="00186BCD">
              <w:rPr>
                <w:rFonts w:eastAsia="Times New Roman" w:cs="Arial"/>
                <w:color w:val="000000"/>
                <w:szCs w:val="24"/>
                <w:lang w:eastAsia="pt-BR"/>
              </w:rPr>
              <w:t>,00%</w:t>
            </w:r>
          </w:p>
        </w:tc>
      </w:tr>
      <w:tr w:rsidR="007F755C" w:rsidRPr="00186BCD" w:rsidTr="00B57856">
        <w:trPr>
          <w:trHeight w:val="340"/>
        </w:trPr>
        <w:tc>
          <w:tcPr>
            <w:tcW w:w="2268" w:type="dxa"/>
            <w:tcBorders>
              <w:top w:val="single" w:sz="4" w:space="0" w:color="auto"/>
              <w:left w:val="nil"/>
              <w:bottom w:val="single" w:sz="4" w:space="0" w:color="auto"/>
              <w:right w:val="nil"/>
            </w:tcBorders>
            <w:shd w:val="clear" w:color="000000" w:fill="FFFFFF"/>
            <w:noWrap/>
            <w:vAlign w:val="center"/>
            <w:hideMark/>
          </w:tcPr>
          <w:p w:rsidR="007F755C" w:rsidRPr="00186BCD" w:rsidRDefault="007F755C" w:rsidP="005E7B36">
            <w:pPr>
              <w:spacing w:after="0" w:line="240" w:lineRule="auto"/>
              <w:contextualSpacing w:val="0"/>
              <w:jc w:val="center"/>
              <w:rPr>
                <w:rFonts w:eastAsia="Times New Roman" w:cs="Arial"/>
                <w:color w:val="000000"/>
                <w:szCs w:val="24"/>
                <w:lang w:eastAsia="pt-BR"/>
              </w:rPr>
            </w:pPr>
            <w:r w:rsidRPr="00186BCD">
              <w:rPr>
                <w:rFonts w:eastAsia="Times New Roman" w:cs="Arial"/>
                <w:color w:val="000000"/>
                <w:szCs w:val="24"/>
                <w:lang w:eastAsia="pt-BR"/>
              </w:rPr>
              <w:t>Taxa de Câmbio</w:t>
            </w:r>
          </w:p>
        </w:tc>
        <w:tc>
          <w:tcPr>
            <w:tcW w:w="2268" w:type="dxa"/>
            <w:tcBorders>
              <w:top w:val="single" w:sz="4" w:space="0" w:color="auto"/>
              <w:left w:val="nil"/>
              <w:bottom w:val="single" w:sz="4" w:space="0" w:color="auto"/>
              <w:right w:val="nil"/>
            </w:tcBorders>
            <w:shd w:val="clear" w:color="000000" w:fill="FFFFFF"/>
            <w:noWrap/>
            <w:vAlign w:val="center"/>
            <w:hideMark/>
          </w:tcPr>
          <w:p w:rsidR="007F755C" w:rsidRPr="00186BCD" w:rsidRDefault="007F755C" w:rsidP="005E7B36">
            <w:pPr>
              <w:spacing w:after="0" w:line="240" w:lineRule="auto"/>
              <w:contextualSpacing w:val="0"/>
              <w:jc w:val="center"/>
              <w:rPr>
                <w:rFonts w:eastAsia="Times New Roman" w:cs="Arial"/>
                <w:color w:val="000000"/>
                <w:szCs w:val="24"/>
                <w:lang w:eastAsia="pt-BR"/>
              </w:rPr>
            </w:pPr>
            <w:r>
              <w:rPr>
                <w:rFonts w:eastAsia="Times New Roman" w:cs="Arial"/>
                <w:color w:val="000000"/>
                <w:szCs w:val="24"/>
                <w:lang w:eastAsia="pt-BR"/>
              </w:rPr>
              <w:t xml:space="preserve"> R$ </w:t>
            </w:r>
            <w:r w:rsidRPr="00186BCD">
              <w:rPr>
                <w:rFonts w:eastAsia="Times New Roman" w:cs="Arial"/>
                <w:color w:val="000000"/>
                <w:szCs w:val="24"/>
                <w:lang w:eastAsia="pt-BR"/>
              </w:rPr>
              <w:t xml:space="preserve">2,30 </w:t>
            </w:r>
          </w:p>
        </w:tc>
        <w:tc>
          <w:tcPr>
            <w:tcW w:w="2268" w:type="dxa"/>
            <w:tcBorders>
              <w:top w:val="single" w:sz="4" w:space="0" w:color="auto"/>
              <w:left w:val="nil"/>
              <w:bottom w:val="single" w:sz="4" w:space="0" w:color="auto"/>
              <w:right w:val="nil"/>
            </w:tcBorders>
            <w:shd w:val="clear" w:color="000000" w:fill="FFFFFF"/>
            <w:noWrap/>
            <w:vAlign w:val="center"/>
            <w:hideMark/>
          </w:tcPr>
          <w:p w:rsidR="007F755C" w:rsidRPr="00186BCD" w:rsidRDefault="007F755C" w:rsidP="007F755C">
            <w:pPr>
              <w:spacing w:after="0" w:line="240" w:lineRule="auto"/>
              <w:contextualSpacing w:val="0"/>
              <w:jc w:val="center"/>
              <w:rPr>
                <w:rFonts w:eastAsia="Times New Roman" w:cs="Arial"/>
                <w:color w:val="000000"/>
                <w:szCs w:val="24"/>
                <w:lang w:eastAsia="pt-BR"/>
              </w:rPr>
            </w:pPr>
            <w:r w:rsidRPr="00186BCD">
              <w:rPr>
                <w:rFonts w:eastAsia="Times New Roman" w:cs="Arial"/>
                <w:color w:val="000000"/>
                <w:szCs w:val="24"/>
                <w:lang w:eastAsia="pt-BR"/>
              </w:rPr>
              <w:t xml:space="preserve"> R</w:t>
            </w:r>
            <w:r>
              <w:rPr>
                <w:rFonts w:eastAsia="Times New Roman" w:cs="Arial"/>
                <w:color w:val="000000"/>
                <w:szCs w:val="24"/>
                <w:lang w:eastAsia="pt-BR"/>
              </w:rPr>
              <w:t xml:space="preserve">$ </w:t>
            </w:r>
            <w:r w:rsidRPr="00186BCD">
              <w:rPr>
                <w:rFonts w:eastAsia="Times New Roman" w:cs="Arial"/>
                <w:color w:val="000000"/>
                <w:szCs w:val="24"/>
                <w:lang w:eastAsia="pt-BR"/>
              </w:rPr>
              <w:t xml:space="preserve">3,16 </w:t>
            </w:r>
          </w:p>
        </w:tc>
        <w:tc>
          <w:tcPr>
            <w:tcW w:w="2268" w:type="dxa"/>
            <w:tcBorders>
              <w:top w:val="single" w:sz="4" w:space="0" w:color="auto"/>
              <w:left w:val="nil"/>
              <w:bottom w:val="single" w:sz="4" w:space="0" w:color="auto"/>
              <w:right w:val="nil"/>
            </w:tcBorders>
            <w:shd w:val="clear" w:color="000000" w:fill="FFFFFF"/>
            <w:noWrap/>
            <w:vAlign w:val="center"/>
            <w:hideMark/>
          </w:tcPr>
          <w:p w:rsidR="007F755C" w:rsidRPr="00186BCD" w:rsidRDefault="007F755C" w:rsidP="005E7B36">
            <w:pPr>
              <w:spacing w:after="0" w:line="240" w:lineRule="auto"/>
              <w:contextualSpacing w:val="0"/>
              <w:jc w:val="center"/>
              <w:rPr>
                <w:rFonts w:eastAsia="Times New Roman" w:cs="Arial"/>
                <w:color w:val="000000"/>
                <w:szCs w:val="24"/>
                <w:lang w:eastAsia="pt-BR"/>
              </w:rPr>
            </w:pPr>
            <w:r>
              <w:rPr>
                <w:rFonts w:eastAsia="Times New Roman" w:cs="Arial"/>
                <w:color w:val="000000"/>
                <w:szCs w:val="24"/>
                <w:lang w:eastAsia="pt-BR"/>
              </w:rPr>
              <w:t xml:space="preserve"> R$ </w:t>
            </w:r>
            <w:r w:rsidRPr="00186BCD">
              <w:rPr>
                <w:rFonts w:eastAsia="Times New Roman" w:cs="Arial"/>
                <w:color w:val="000000"/>
                <w:szCs w:val="24"/>
                <w:lang w:eastAsia="pt-BR"/>
              </w:rPr>
              <w:t xml:space="preserve">4,24 </w:t>
            </w:r>
          </w:p>
        </w:tc>
      </w:tr>
    </w:tbl>
    <w:p w:rsidR="009E309B" w:rsidRDefault="00C91A0F" w:rsidP="00A017BA">
      <w:pPr>
        <w:jc w:val="center"/>
      </w:pPr>
      <w:r>
        <w:t>Fonte: Autoria própria</w:t>
      </w:r>
    </w:p>
    <w:p w:rsidR="00B57856" w:rsidRDefault="009E309B" w:rsidP="00A017BA">
      <w:r>
        <w:t xml:space="preserve">A combinação destes valores fornece 27 possibilidades diferentes para análise da viabilidade econômica. Todavia, nem todos os cenários são interessantes de se analisar, visto que, se o projeto se torna viável a cenários menos otimistas, obviamente esta obterá sucesso em cenários mais confortáveis. A </w:t>
      </w:r>
      <w:r w:rsidR="008B751A">
        <w:fldChar w:fldCharType="begin"/>
      </w:r>
      <w:r w:rsidR="008B751A">
        <w:instrText xml:space="preserve"> REF _Ref488284923 \h </w:instrText>
      </w:r>
      <w:r w:rsidR="00A017BA">
        <w:instrText xml:space="preserve"> \* MERGEFORMAT </w:instrText>
      </w:r>
      <w:r w:rsidR="008B751A">
        <w:fldChar w:fldCharType="separate"/>
      </w:r>
      <w:r w:rsidR="00026000">
        <w:t xml:space="preserve">Tabela </w:t>
      </w:r>
      <w:r w:rsidR="00026000">
        <w:rPr>
          <w:noProof/>
        </w:rPr>
        <w:t>14</w:t>
      </w:r>
      <w:r w:rsidR="008B751A">
        <w:fldChar w:fldCharType="end"/>
      </w:r>
      <w:r>
        <w:t xml:space="preserve"> exibe os cenários escolhidos para análise. </w:t>
      </w:r>
    </w:p>
    <w:p w:rsidR="009E309B" w:rsidRDefault="009E309B" w:rsidP="00026000">
      <w:pPr>
        <w:pStyle w:val="Tabela-PG"/>
      </w:pPr>
      <w:bookmarkStart w:id="196" w:name="_Ref488284923"/>
      <w:bookmarkStart w:id="197" w:name="_Toc488706095"/>
      <w:r>
        <w:t xml:space="preserve">Tabela </w:t>
      </w:r>
      <w:fldSimple w:instr=" SEQ Tabela \* ARABIC ">
        <w:r w:rsidR="00C91A0F">
          <w:rPr>
            <w:noProof/>
          </w:rPr>
          <w:t>14</w:t>
        </w:r>
      </w:fldSimple>
      <w:bookmarkEnd w:id="196"/>
      <w:r w:rsidR="00DB227D">
        <w:t xml:space="preserve"> - </w:t>
      </w:r>
      <w:r>
        <w:t>Cenários escolhidos para análise de viabilidade econômica.</w:t>
      </w:r>
      <w:bookmarkEnd w:id="197"/>
    </w:p>
    <w:tbl>
      <w:tblPr>
        <w:tblW w:w="9071" w:type="dxa"/>
        <w:tblLayout w:type="fixed"/>
        <w:tblCellMar>
          <w:left w:w="70" w:type="dxa"/>
          <w:right w:w="70" w:type="dxa"/>
        </w:tblCellMar>
        <w:tblLook w:val="04A0" w:firstRow="1" w:lastRow="0" w:firstColumn="1" w:lastColumn="0" w:noHBand="0" w:noVBand="1"/>
      </w:tblPr>
      <w:tblGrid>
        <w:gridCol w:w="2267"/>
        <w:gridCol w:w="2268"/>
        <w:gridCol w:w="2268"/>
        <w:gridCol w:w="2268"/>
      </w:tblGrid>
      <w:tr w:rsidR="006F7B8C" w:rsidRPr="006F7B8C" w:rsidTr="00B57856">
        <w:trPr>
          <w:trHeight w:val="340"/>
        </w:trPr>
        <w:tc>
          <w:tcPr>
            <w:tcW w:w="2267" w:type="dxa"/>
            <w:tcBorders>
              <w:top w:val="single" w:sz="4" w:space="0" w:color="auto"/>
              <w:left w:val="nil"/>
              <w:bottom w:val="nil"/>
              <w:right w:val="nil"/>
            </w:tcBorders>
            <w:shd w:val="clear" w:color="000000" w:fill="FFFFFF"/>
            <w:noWrap/>
            <w:vAlign w:val="center"/>
            <w:hideMark/>
          </w:tcPr>
          <w:p w:rsidR="006F7B8C" w:rsidRPr="006F7B8C" w:rsidRDefault="006F7B8C" w:rsidP="006F7B8C">
            <w:pPr>
              <w:spacing w:after="0" w:line="240" w:lineRule="auto"/>
              <w:contextualSpacing w:val="0"/>
              <w:jc w:val="center"/>
              <w:rPr>
                <w:rFonts w:eastAsia="Times New Roman" w:cs="Arial"/>
                <w:color w:val="000000"/>
                <w:szCs w:val="24"/>
                <w:lang w:eastAsia="pt-BR"/>
              </w:rPr>
            </w:pPr>
            <w:r w:rsidRPr="006F7B8C">
              <w:rPr>
                <w:rFonts w:eastAsia="Times New Roman" w:cs="Arial"/>
                <w:color w:val="000000"/>
                <w:szCs w:val="24"/>
                <w:lang w:eastAsia="pt-BR"/>
              </w:rPr>
              <w:t> </w:t>
            </w:r>
          </w:p>
        </w:tc>
        <w:tc>
          <w:tcPr>
            <w:tcW w:w="2268" w:type="dxa"/>
            <w:tcBorders>
              <w:top w:val="single" w:sz="4" w:space="0" w:color="auto"/>
              <w:left w:val="nil"/>
              <w:bottom w:val="single" w:sz="4" w:space="0" w:color="auto"/>
              <w:right w:val="nil"/>
            </w:tcBorders>
            <w:shd w:val="clear" w:color="000000" w:fill="FFFFFF"/>
            <w:noWrap/>
            <w:vAlign w:val="center"/>
            <w:hideMark/>
          </w:tcPr>
          <w:p w:rsidR="006F7B8C" w:rsidRPr="006F7B8C" w:rsidRDefault="006F7B8C" w:rsidP="006F7B8C">
            <w:pPr>
              <w:spacing w:after="0" w:line="240" w:lineRule="auto"/>
              <w:contextualSpacing w:val="0"/>
              <w:jc w:val="center"/>
              <w:rPr>
                <w:rFonts w:eastAsia="Times New Roman" w:cs="Arial"/>
                <w:b/>
                <w:bCs/>
                <w:i/>
                <w:iCs/>
                <w:color w:val="000000"/>
                <w:szCs w:val="24"/>
                <w:lang w:eastAsia="pt-BR"/>
              </w:rPr>
            </w:pPr>
            <w:r w:rsidRPr="006F7B8C">
              <w:rPr>
                <w:rFonts w:eastAsia="Times New Roman" w:cs="Arial"/>
                <w:b/>
                <w:bCs/>
                <w:i/>
                <w:iCs/>
                <w:color w:val="000000"/>
                <w:szCs w:val="24"/>
                <w:lang w:eastAsia="pt-BR"/>
              </w:rPr>
              <w:t>Inflação</w:t>
            </w:r>
          </w:p>
        </w:tc>
        <w:tc>
          <w:tcPr>
            <w:tcW w:w="2268" w:type="dxa"/>
            <w:tcBorders>
              <w:top w:val="single" w:sz="4" w:space="0" w:color="auto"/>
              <w:left w:val="nil"/>
              <w:bottom w:val="single" w:sz="4" w:space="0" w:color="auto"/>
              <w:right w:val="nil"/>
            </w:tcBorders>
            <w:shd w:val="clear" w:color="000000" w:fill="FFFFFF"/>
            <w:noWrap/>
            <w:vAlign w:val="center"/>
            <w:hideMark/>
          </w:tcPr>
          <w:p w:rsidR="006F7B8C" w:rsidRPr="006F7B8C" w:rsidRDefault="006F7B8C" w:rsidP="006F7B8C">
            <w:pPr>
              <w:spacing w:after="0" w:line="240" w:lineRule="auto"/>
              <w:contextualSpacing w:val="0"/>
              <w:jc w:val="center"/>
              <w:rPr>
                <w:rFonts w:eastAsia="Times New Roman" w:cs="Arial"/>
                <w:b/>
                <w:bCs/>
                <w:i/>
                <w:iCs/>
                <w:color w:val="000000"/>
                <w:szCs w:val="24"/>
                <w:lang w:eastAsia="pt-BR"/>
              </w:rPr>
            </w:pPr>
            <w:r w:rsidRPr="006F7B8C">
              <w:rPr>
                <w:rFonts w:eastAsia="Times New Roman" w:cs="Arial"/>
                <w:b/>
                <w:bCs/>
                <w:i/>
                <w:iCs/>
                <w:color w:val="000000"/>
                <w:szCs w:val="24"/>
                <w:lang w:eastAsia="pt-BR"/>
              </w:rPr>
              <w:t>Taxa de desconto</w:t>
            </w:r>
          </w:p>
        </w:tc>
        <w:tc>
          <w:tcPr>
            <w:tcW w:w="2268" w:type="dxa"/>
            <w:tcBorders>
              <w:top w:val="single" w:sz="4" w:space="0" w:color="auto"/>
              <w:left w:val="nil"/>
              <w:bottom w:val="single" w:sz="4" w:space="0" w:color="auto"/>
              <w:right w:val="nil"/>
            </w:tcBorders>
            <w:shd w:val="clear" w:color="000000" w:fill="FFFFFF"/>
            <w:noWrap/>
            <w:vAlign w:val="center"/>
            <w:hideMark/>
          </w:tcPr>
          <w:p w:rsidR="006F7B8C" w:rsidRPr="006F7B8C" w:rsidRDefault="006F7B8C" w:rsidP="006F7B8C">
            <w:pPr>
              <w:spacing w:after="0" w:line="240" w:lineRule="auto"/>
              <w:contextualSpacing w:val="0"/>
              <w:jc w:val="center"/>
              <w:rPr>
                <w:rFonts w:eastAsia="Times New Roman" w:cs="Arial"/>
                <w:b/>
                <w:bCs/>
                <w:i/>
                <w:iCs/>
                <w:color w:val="000000"/>
                <w:szCs w:val="24"/>
                <w:lang w:eastAsia="pt-BR"/>
              </w:rPr>
            </w:pPr>
            <w:r w:rsidRPr="006F7B8C">
              <w:rPr>
                <w:rFonts w:eastAsia="Times New Roman" w:cs="Arial"/>
                <w:b/>
                <w:bCs/>
                <w:i/>
                <w:iCs/>
                <w:color w:val="000000"/>
                <w:szCs w:val="24"/>
                <w:lang w:eastAsia="pt-BR"/>
              </w:rPr>
              <w:t>Cotação do dólar</w:t>
            </w:r>
          </w:p>
        </w:tc>
      </w:tr>
      <w:tr w:rsidR="006F7B8C" w:rsidRPr="006F7B8C" w:rsidTr="00B57856">
        <w:trPr>
          <w:trHeight w:val="340"/>
        </w:trPr>
        <w:tc>
          <w:tcPr>
            <w:tcW w:w="2267" w:type="dxa"/>
            <w:tcBorders>
              <w:top w:val="single" w:sz="4" w:space="0" w:color="auto"/>
              <w:left w:val="nil"/>
              <w:bottom w:val="single" w:sz="4" w:space="0" w:color="auto"/>
              <w:right w:val="nil"/>
            </w:tcBorders>
            <w:shd w:val="clear" w:color="000000" w:fill="FFFFFF"/>
            <w:noWrap/>
            <w:vAlign w:val="center"/>
            <w:hideMark/>
          </w:tcPr>
          <w:p w:rsidR="006F7B8C" w:rsidRPr="006F7B8C" w:rsidRDefault="006F7B8C" w:rsidP="006F7B8C">
            <w:pPr>
              <w:spacing w:after="0" w:line="240" w:lineRule="auto"/>
              <w:contextualSpacing w:val="0"/>
              <w:jc w:val="center"/>
              <w:rPr>
                <w:rFonts w:eastAsia="Times New Roman" w:cs="Arial"/>
                <w:b/>
                <w:bCs/>
                <w:i/>
                <w:iCs/>
                <w:color w:val="000000"/>
                <w:szCs w:val="24"/>
                <w:lang w:eastAsia="pt-BR"/>
              </w:rPr>
            </w:pPr>
            <w:r w:rsidRPr="006F7B8C">
              <w:rPr>
                <w:rFonts w:eastAsia="Times New Roman" w:cs="Arial"/>
                <w:b/>
                <w:bCs/>
                <w:i/>
                <w:iCs/>
                <w:color w:val="000000"/>
                <w:szCs w:val="24"/>
                <w:lang w:eastAsia="pt-BR"/>
              </w:rPr>
              <w:t>Cenário Padrão</w:t>
            </w:r>
          </w:p>
        </w:tc>
        <w:tc>
          <w:tcPr>
            <w:tcW w:w="2268" w:type="dxa"/>
            <w:tcBorders>
              <w:top w:val="nil"/>
              <w:left w:val="nil"/>
              <w:bottom w:val="single" w:sz="4" w:space="0" w:color="auto"/>
              <w:right w:val="nil"/>
            </w:tcBorders>
            <w:shd w:val="clear" w:color="000000" w:fill="FFFFFF"/>
            <w:noWrap/>
            <w:vAlign w:val="center"/>
            <w:hideMark/>
          </w:tcPr>
          <w:p w:rsidR="006F7B8C" w:rsidRPr="006F7B8C" w:rsidRDefault="006F7B8C" w:rsidP="006F7B8C">
            <w:pPr>
              <w:spacing w:after="0" w:line="240" w:lineRule="auto"/>
              <w:contextualSpacing w:val="0"/>
              <w:jc w:val="center"/>
              <w:rPr>
                <w:rFonts w:eastAsia="Times New Roman" w:cs="Arial"/>
                <w:b/>
                <w:bCs/>
                <w:i/>
                <w:iCs/>
                <w:color w:val="000000"/>
                <w:szCs w:val="24"/>
                <w:lang w:eastAsia="pt-BR"/>
              </w:rPr>
            </w:pPr>
            <w:r w:rsidRPr="006F7B8C">
              <w:rPr>
                <w:rFonts w:eastAsia="Times New Roman" w:cs="Arial"/>
                <w:b/>
                <w:bCs/>
                <w:i/>
                <w:iCs/>
                <w:color w:val="000000"/>
                <w:szCs w:val="24"/>
                <w:lang w:eastAsia="pt-BR"/>
              </w:rPr>
              <w:t>5,25%</w:t>
            </w:r>
          </w:p>
        </w:tc>
        <w:tc>
          <w:tcPr>
            <w:tcW w:w="2268" w:type="dxa"/>
            <w:tcBorders>
              <w:top w:val="nil"/>
              <w:left w:val="nil"/>
              <w:bottom w:val="single" w:sz="4" w:space="0" w:color="auto"/>
              <w:right w:val="nil"/>
            </w:tcBorders>
            <w:shd w:val="clear" w:color="000000" w:fill="FFFFFF"/>
            <w:noWrap/>
            <w:vAlign w:val="center"/>
            <w:hideMark/>
          </w:tcPr>
          <w:p w:rsidR="006F7B8C" w:rsidRPr="006F7B8C" w:rsidRDefault="006F7B8C" w:rsidP="006F7B8C">
            <w:pPr>
              <w:spacing w:after="0" w:line="240" w:lineRule="auto"/>
              <w:contextualSpacing w:val="0"/>
              <w:jc w:val="center"/>
              <w:rPr>
                <w:rFonts w:eastAsia="Times New Roman" w:cs="Arial"/>
                <w:b/>
                <w:bCs/>
                <w:i/>
                <w:iCs/>
                <w:color w:val="000000"/>
                <w:szCs w:val="24"/>
                <w:lang w:eastAsia="pt-BR"/>
              </w:rPr>
            </w:pPr>
            <w:r w:rsidRPr="006F7B8C">
              <w:rPr>
                <w:rFonts w:eastAsia="Times New Roman" w:cs="Arial"/>
                <w:b/>
                <w:bCs/>
                <w:i/>
                <w:iCs/>
                <w:color w:val="000000"/>
                <w:szCs w:val="24"/>
                <w:lang w:eastAsia="pt-BR"/>
              </w:rPr>
              <w:t>10,25%</w:t>
            </w:r>
          </w:p>
        </w:tc>
        <w:tc>
          <w:tcPr>
            <w:tcW w:w="2268" w:type="dxa"/>
            <w:tcBorders>
              <w:top w:val="nil"/>
              <w:left w:val="nil"/>
              <w:bottom w:val="single" w:sz="4" w:space="0" w:color="auto"/>
              <w:right w:val="nil"/>
            </w:tcBorders>
            <w:shd w:val="clear" w:color="000000" w:fill="FFFFFF"/>
            <w:noWrap/>
            <w:vAlign w:val="center"/>
            <w:hideMark/>
          </w:tcPr>
          <w:p w:rsidR="006F7B8C" w:rsidRPr="006F7B8C" w:rsidRDefault="006F7B8C" w:rsidP="006F7B8C">
            <w:pPr>
              <w:spacing w:after="0" w:line="240" w:lineRule="auto"/>
              <w:contextualSpacing w:val="0"/>
              <w:jc w:val="center"/>
              <w:rPr>
                <w:rFonts w:eastAsia="Times New Roman" w:cs="Arial"/>
                <w:b/>
                <w:bCs/>
                <w:i/>
                <w:iCs/>
                <w:color w:val="000000"/>
                <w:szCs w:val="24"/>
                <w:lang w:eastAsia="pt-BR"/>
              </w:rPr>
            </w:pPr>
            <w:r w:rsidRPr="006F7B8C">
              <w:rPr>
                <w:rFonts w:eastAsia="Times New Roman" w:cs="Arial"/>
                <w:b/>
                <w:bCs/>
                <w:i/>
                <w:iCs/>
                <w:color w:val="000000"/>
                <w:szCs w:val="24"/>
                <w:lang w:eastAsia="pt-BR"/>
              </w:rPr>
              <w:t xml:space="preserve"> R$    3,16 </w:t>
            </w:r>
          </w:p>
        </w:tc>
      </w:tr>
      <w:tr w:rsidR="006F7B8C" w:rsidRPr="006F7B8C" w:rsidTr="00B57856">
        <w:trPr>
          <w:trHeight w:val="340"/>
        </w:trPr>
        <w:tc>
          <w:tcPr>
            <w:tcW w:w="2267" w:type="dxa"/>
            <w:tcBorders>
              <w:top w:val="nil"/>
              <w:left w:val="nil"/>
              <w:bottom w:val="single" w:sz="4" w:space="0" w:color="auto"/>
              <w:right w:val="nil"/>
            </w:tcBorders>
            <w:shd w:val="clear" w:color="000000" w:fill="FFFFFF"/>
            <w:noWrap/>
            <w:vAlign w:val="center"/>
            <w:hideMark/>
          </w:tcPr>
          <w:p w:rsidR="006F7B8C" w:rsidRPr="006F7B8C" w:rsidRDefault="006F7B8C" w:rsidP="006F7B8C">
            <w:pPr>
              <w:spacing w:after="0" w:line="240" w:lineRule="auto"/>
              <w:contextualSpacing w:val="0"/>
              <w:jc w:val="center"/>
              <w:rPr>
                <w:rFonts w:eastAsia="Times New Roman" w:cs="Arial"/>
                <w:color w:val="000000"/>
                <w:szCs w:val="24"/>
                <w:lang w:eastAsia="pt-BR"/>
              </w:rPr>
            </w:pPr>
            <w:r w:rsidRPr="006F7B8C">
              <w:rPr>
                <w:rFonts w:eastAsia="Times New Roman" w:cs="Arial"/>
                <w:color w:val="000000"/>
                <w:szCs w:val="24"/>
                <w:lang w:eastAsia="pt-BR"/>
              </w:rPr>
              <w:t>Cenário 1</w:t>
            </w:r>
          </w:p>
        </w:tc>
        <w:tc>
          <w:tcPr>
            <w:tcW w:w="2268" w:type="dxa"/>
            <w:tcBorders>
              <w:top w:val="nil"/>
              <w:left w:val="nil"/>
              <w:bottom w:val="single" w:sz="4" w:space="0" w:color="auto"/>
              <w:right w:val="nil"/>
            </w:tcBorders>
            <w:shd w:val="clear" w:color="000000" w:fill="FFFFFF"/>
            <w:noWrap/>
            <w:vAlign w:val="center"/>
            <w:hideMark/>
          </w:tcPr>
          <w:p w:rsidR="006F7B8C" w:rsidRPr="006F7B8C" w:rsidRDefault="006F7B8C" w:rsidP="006F7B8C">
            <w:pPr>
              <w:spacing w:after="0" w:line="240" w:lineRule="auto"/>
              <w:contextualSpacing w:val="0"/>
              <w:jc w:val="center"/>
              <w:rPr>
                <w:rFonts w:eastAsia="Times New Roman" w:cs="Arial"/>
                <w:color w:val="000000"/>
                <w:szCs w:val="24"/>
                <w:lang w:eastAsia="pt-BR"/>
              </w:rPr>
            </w:pPr>
            <w:r w:rsidRPr="006F7B8C">
              <w:rPr>
                <w:rFonts w:eastAsia="Times New Roman" w:cs="Arial"/>
                <w:color w:val="000000"/>
                <w:szCs w:val="24"/>
                <w:lang w:eastAsia="pt-BR"/>
              </w:rPr>
              <w:t>5,25%</w:t>
            </w:r>
          </w:p>
        </w:tc>
        <w:tc>
          <w:tcPr>
            <w:tcW w:w="2268" w:type="dxa"/>
            <w:tcBorders>
              <w:top w:val="nil"/>
              <w:left w:val="nil"/>
              <w:bottom w:val="single" w:sz="4" w:space="0" w:color="auto"/>
              <w:right w:val="nil"/>
            </w:tcBorders>
            <w:shd w:val="clear" w:color="000000" w:fill="FFFFFF"/>
            <w:noWrap/>
            <w:vAlign w:val="center"/>
            <w:hideMark/>
          </w:tcPr>
          <w:p w:rsidR="006F7B8C" w:rsidRPr="006F7B8C" w:rsidRDefault="006F7B8C" w:rsidP="006F7B8C">
            <w:pPr>
              <w:spacing w:after="0" w:line="240" w:lineRule="auto"/>
              <w:contextualSpacing w:val="0"/>
              <w:jc w:val="center"/>
              <w:rPr>
                <w:rFonts w:eastAsia="Times New Roman" w:cs="Arial"/>
                <w:color w:val="000000"/>
                <w:szCs w:val="24"/>
                <w:lang w:eastAsia="pt-BR"/>
              </w:rPr>
            </w:pPr>
            <w:r w:rsidRPr="006F7B8C">
              <w:rPr>
                <w:rFonts w:eastAsia="Times New Roman" w:cs="Arial"/>
                <w:color w:val="000000"/>
                <w:szCs w:val="24"/>
                <w:lang w:eastAsia="pt-BR"/>
              </w:rPr>
              <w:t>6,17%</w:t>
            </w:r>
          </w:p>
        </w:tc>
        <w:tc>
          <w:tcPr>
            <w:tcW w:w="2268" w:type="dxa"/>
            <w:tcBorders>
              <w:top w:val="nil"/>
              <w:left w:val="nil"/>
              <w:bottom w:val="single" w:sz="4" w:space="0" w:color="auto"/>
              <w:right w:val="nil"/>
            </w:tcBorders>
            <w:shd w:val="clear" w:color="000000" w:fill="FFFFFF"/>
            <w:noWrap/>
            <w:vAlign w:val="center"/>
            <w:hideMark/>
          </w:tcPr>
          <w:p w:rsidR="006F7B8C" w:rsidRPr="006F7B8C" w:rsidRDefault="006F7B8C" w:rsidP="006F7B8C">
            <w:pPr>
              <w:spacing w:after="0" w:line="240" w:lineRule="auto"/>
              <w:contextualSpacing w:val="0"/>
              <w:jc w:val="center"/>
              <w:rPr>
                <w:rFonts w:eastAsia="Times New Roman" w:cs="Arial"/>
                <w:color w:val="000000"/>
                <w:szCs w:val="24"/>
                <w:lang w:eastAsia="pt-BR"/>
              </w:rPr>
            </w:pPr>
            <w:r w:rsidRPr="006F7B8C">
              <w:rPr>
                <w:rFonts w:eastAsia="Times New Roman" w:cs="Arial"/>
                <w:color w:val="000000"/>
                <w:szCs w:val="24"/>
                <w:lang w:eastAsia="pt-BR"/>
              </w:rPr>
              <w:t xml:space="preserve"> R$     3,16 </w:t>
            </w:r>
          </w:p>
        </w:tc>
      </w:tr>
      <w:tr w:rsidR="006F7B8C" w:rsidRPr="006F7B8C" w:rsidTr="00B57856">
        <w:trPr>
          <w:trHeight w:val="340"/>
        </w:trPr>
        <w:tc>
          <w:tcPr>
            <w:tcW w:w="2267" w:type="dxa"/>
            <w:tcBorders>
              <w:top w:val="nil"/>
              <w:left w:val="nil"/>
              <w:bottom w:val="single" w:sz="4" w:space="0" w:color="auto"/>
              <w:right w:val="nil"/>
            </w:tcBorders>
            <w:shd w:val="clear" w:color="000000" w:fill="FFFFFF"/>
            <w:noWrap/>
            <w:vAlign w:val="center"/>
            <w:hideMark/>
          </w:tcPr>
          <w:p w:rsidR="006F7B8C" w:rsidRPr="006F7B8C" w:rsidRDefault="006F7B8C" w:rsidP="006F7B8C">
            <w:pPr>
              <w:spacing w:after="0" w:line="240" w:lineRule="auto"/>
              <w:contextualSpacing w:val="0"/>
              <w:jc w:val="center"/>
              <w:rPr>
                <w:rFonts w:eastAsia="Times New Roman" w:cs="Arial"/>
                <w:color w:val="000000"/>
                <w:szCs w:val="24"/>
                <w:lang w:eastAsia="pt-BR"/>
              </w:rPr>
            </w:pPr>
            <w:r w:rsidRPr="006F7B8C">
              <w:rPr>
                <w:rFonts w:eastAsia="Times New Roman" w:cs="Arial"/>
                <w:color w:val="000000"/>
                <w:szCs w:val="24"/>
                <w:lang w:eastAsia="pt-BR"/>
              </w:rPr>
              <w:t>Cenário 2</w:t>
            </w:r>
          </w:p>
        </w:tc>
        <w:tc>
          <w:tcPr>
            <w:tcW w:w="2268" w:type="dxa"/>
            <w:tcBorders>
              <w:top w:val="nil"/>
              <w:left w:val="nil"/>
              <w:bottom w:val="single" w:sz="4" w:space="0" w:color="auto"/>
              <w:right w:val="nil"/>
            </w:tcBorders>
            <w:shd w:val="clear" w:color="000000" w:fill="FFFFFF"/>
            <w:noWrap/>
            <w:vAlign w:val="center"/>
            <w:hideMark/>
          </w:tcPr>
          <w:p w:rsidR="006F7B8C" w:rsidRPr="006F7B8C" w:rsidRDefault="006F7B8C" w:rsidP="006F7B8C">
            <w:pPr>
              <w:spacing w:after="0" w:line="240" w:lineRule="auto"/>
              <w:contextualSpacing w:val="0"/>
              <w:jc w:val="center"/>
              <w:rPr>
                <w:rFonts w:eastAsia="Times New Roman" w:cs="Arial"/>
                <w:color w:val="000000"/>
                <w:szCs w:val="24"/>
                <w:lang w:eastAsia="pt-BR"/>
              </w:rPr>
            </w:pPr>
            <w:r w:rsidRPr="006F7B8C">
              <w:rPr>
                <w:rFonts w:eastAsia="Times New Roman" w:cs="Arial"/>
                <w:color w:val="000000"/>
                <w:szCs w:val="24"/>
                <w:lang w:eastAsia="pt-BR"/>
              </w:rPr>
              <w:t>5,25%</w:t>
            </w:r>
          </w:p>
        </w:tc>
        <w:tc>
          <w:tcPr>
            <w:tcW w:w="2268" w:type="dxa"/>
            <w:tcBorders>
              <w:top w:val="nil"/>
              <w:left w:val="nil"/>
              <w:bottom w:val="single" w:sz="4" w:space="0" w:color="auto"/>
              <w:right w:val="nil"/>
            </w:tcBorders>
            <w:shd w:val="clear" w:color="000000" w:fill="FFFFFF"/>
            <w:noWrap/>
            <w:vAlign w:val="center"/>
            <w:hideMark/>
          </w:tcPr>
          <w:p w:rsidR="006F7B8C" w:rsidRPr="006F7B8C" w:rsidRDefault="006F7B8C" w:rsidP="006F7B8C">
            <w:pPr>
              <w:spacing w:after="0" w:line="240" w:lineRule="auto"/>
              <w:contextualSpacing w:val="0"/>
              <w:jc w:val="center"/>
              <w:rPr>
                <w:rFonts w:eastAsia="Times New Roman" w:cs="Arial"/>
                <w:color w:val="000000"/>
                <w:szCs w:val="24"/>
                <w:lang w:eastAsia="pt-BR"/>
              </w:rPr>
            </w:pPr>
            <w:r w:rsidRPr="006F7B8C">
              <w:rPr>
                <w:rFonts w:eastAsia="Times New Roman" w:cs="Arial"/>
                <w:color w:val="000000"/>
                <w:szCs w:val="24"/>
                <w:lang w:eastAsia="pt-BR"/>
              </w:rPr>
              <w:t>6,17%</w:t>
            </w:r>
          </w:p>
        </w:tc>
        <w:tc>
          <w:tcPr>
            <w:tcW w:w="2268" w:type="dxa"/>
            <w:tcBorders>
              <w:top w:val="nil"/>
              <w:left w:val="nil"/>
              <w:bottom w:val="single" w:sz="4" w:space="0" w:color="auto"/>
              <w:right w:val="nil"/>
            </w:tcBorders>
            <w:shd w:val="clear" w:color="000000" w:fill="FFFFFF"/>
            <w:noWrap/>
            <w:vAlign w:val="center"/>
            <w:hideMark/>
          </w:tcPr>
          <w:p w:rsidR="006F7B8C" w:rsidRPr="006F7B8C" w:rsidRDefault="006F7B8C" w:rsidP="006F7B8C">
            <w:pPr>
              <w:spacing w:after="0" w:line="240" w:lineRule="auto"/>
              <w:contextualSpacing w:val="0"/>
              <w:jc w:val="center"/>
              <w:rPr>
                <w:rFonts w:eastAsia="Times New Roman" w:cs="Arial"/>
                <w:color w:val="000000"/>
                <w:szCs w:val="24"/>
                <w:lang w:eastAsia="pt-BR"/>
              </w:rPr>
            </w:pPr>
            <w:r w:rsidRPr="006F7B8C">
              <w:rPr>
                <w:rFonts w:eastAsia="Times New Roman" w:cs="Arial"/>
                <w:color w:val="000000"/>
                <w:szCs w:val="24"/>
                <w:lang w:eastAsia="pt-BR"/>
              </w:rPr>
              <w:t xml:space="preserve"> R$     4,24 </w:t>
            </w:r>
          </w:p>
        </w:tc>
      </w:tr>
      <w:tr w:rsidR="006F7B8C" w:rsidRPr="006F7B8C" w:rsidTr="00B57856">
        <w:trPr>
          <w:trHeight w:val="340"/>
        </w:trPr>
        <w:tc>
          <w:tcPr>
            <w:tcW w:w="2267" w:type="dxa"/>
            <w:tcBorders>
              <w:top w:val="nil"/>
              <w:left w:val="nil"/>
              <w:bottom w:val="single" w:sz="4" w:space="0" w:color="auto"/>
              <w:right w:val="nil"/>
            </w:tcBorders>
            <w:shd w:val="clear" w:color="000000" w:fill="FFFFFF"/>
            <w:noWrap/>
            <w:vAlign w:val="center"/>
            <w:hideMark/>
          </w:tcPr>
          <w:p w:rsidR="006F7B8C" w:rsidRPr="006F7B8C" w:rsidRDefault="006F7B8C" w:rsidP="006F7B8C">
            <w:pPr>
              <w:spacing w:after="0" w:line="240" w:lineRule="auto"/>
              <w:contextualSpacing w:val="0"/>
              <w:jc w:val="center"/>
              <w:rPr>
                <w:rFonts w:eastAsia="Times New Roman" w:cs="Arial"/>
                <w:color w:val="000000"/>
                <w:szCs w:val="24"/>
                <w:lang w:eastAsia="pt-BR"/>
              </w:rPr>
            </w:pPr>
            <w:r w:rsidRPr="006F7B8C">
              <w:rPr>
                <w:rFonts w:eastAsia="Times New Roman" w:cs="Arial"/>
                <w:color w:val="000000"/>
                <w:szCs w:val="24"/>
                <w:lang w:eastAsia="pt-BR"/>
              </w:rPr>
              <w:t>Cenário 3</w:t>
            </w:r>
          </w:p>
        </w:tc>
        <w:tc>
          <w:tcPr>
            <w:tcW w:w="2268" w:type="dxa"/>
            <w:tcBorders>
              <w:top w:val="nil"/>
              <w:left w:val="nil"/>
              <w:bottom w:val="single" w:sz="4" w:space="0" w:color="auto"/>
              <w:right w:val="nil"/>
            </w:tcBorders>
            <w:shd w:val="clear" w:color="000000" w:fill="FFFFFF"/>
            <w:noWrap/>
            <w:vAlign w:val="center"/>
            <w:hideMark/>
          </w:tcPr>
          <w:p w:rsidR="006F7B8C" w:rsidRPr="006F7B8C" w:rsidRDefault="006F7B8C" w:rsidP="006F7B8C">
            <w:pPr>
              <w:spacing w:after="0" w:line="240" w:lineRule="auto"/>
              <w:contextualSpacing w:val="0"/>
              <w:jc w:val="center"/>
              <w:rPr>
                <w:rFonts w:eastAsia="Times New Roman" w:cs="Arial"/>
                <w:color w:val="000000"/>
                <w:szCs w:val="24"/>
                <w:lang w:eastAsia="pt-BR"/>
              </w:rPr>
            </w:pPr>
            <w:r w:rsidRPr="006F7B8C">
              <w:rPr>
                <w:rFonts w:eastAsia="Times New Roman" w:cs="Arial"/>
                <w:color w:val="000000"/>
                <w:szCs w:val="24"/>
                <w:lang w:eastAsia="pt-BR"/>
              </w:rPr>
              <w:t>5,25%</w:t>
            </w:r>
          </w:p>
        </w:tc>
        <w:tc>
          <w:tcPr>
            <w:tcW w:w="2268" w:type="dxa"/>
            <w:tcBorders>
              <w:top w:val="nil"/>
              <w:left w:val="nil"/>
              <w:bottom w:val="single" w:sz="4" w:space="0" w:color="auto"/>
              <w:right w:val="nil"/>
            </w:tcBorders>
            <w:shd w:val="clear" w:color="000000" w:fill="FFFFFF"/>
            <w:noWrap/>
            <w:vAlign w:val="center"/>
            <w:hideMark/>
          </w:tcPr>
          <w:p w:rsidR="006F7B8C" w:rsidRPr="006F7B8C" w:rsidRDefault="006F7B8C" w:rsidP="006F7B8C">
            <w:pPr>
              <w:spacing w:after="0" w:line="240" w:lineRule="auto"/>
              <w:contextualSpacing w:val="0"/>
              <w:jc w:val="center"/>
              <w:rPr>
                <w:rFonts w:eastAsia="Times New Roman" w:cs="Arial"/>
                <w:color w:val="000000"/>
                <w:szCs w:val="24"/>
                <w:lang w:eastAsia="pt-BR"/>
              </w:rPr>
            </w:pPr>
            <w:r w:rsidRPr="006F7B8C">
              <w:rPr>
                <w:rFonts w:eastAsia="Times New Roman" w:cs="Arial"/>
                <w:color w:val="000000"/>
                <w:szCs w:val="24"/>
                <w:lang w:eastAsia="pt-BR"/>
              </w:rPr>
              <w:t>10,25%</w:t>
            </w:r>
          </w:p>
        </w:tc>
        <w:tc>
          <w:tcPr>
            <w:tcW w:w="2268" w:type="dxa"/>
            <w:tcBorders>
              <w:top w:val="nil"/>
              <w:left w:val="nil"/>
              <w:bottom w:val="single" w:sz="4" w:space="0" w:color="auto"/>
              <w:right w:val="nil"/>
            </w:tcBorders>
            <w:shd w:val="clear" w:color="000000" w:fill="FFFFFF"/>
            <w:noWrap/>
            <w:vAlign w:val="center"/>
            <w:hideMark/>
          </w:tcPr>
          <w:p w:rsidR="006F7B8C" w:rsidRPr="006F7B8C" w:rsidRDefault="006F7B8C" w:rsidP="006F7B8C">
            <w:pPr>
              <w:spacing w:after="0" w:line="240" w:lineRule="auto"/>
              <w:contextualSpacing w:val="0"/>
              <w:jc w:val="center"/>
              <w:rPr>
                <w:rFonts w:eastAsia="Times New Roman" w:cs="Arial"/>
                <w:color w:val="000000"/>
                <w:szCs w:val="24"/>
                <w:lang w:eastAsia="pt-BR"/>
              </w:rPr>
            </w:pPr>
            <w:r w:rsidRPr="006F7B8C">
              <w:rPr>
                <w:rFonts w:eastAsia="Times New Roman" w:cs="Arial"/>
                <w:color w:val="000000"/>
                <w:szCs w:val="24"/>
                <w:lang w:eastAsia="pt-BR"/>
              </w:rPr>
              <w:t xml:space="preserve"> R$     4,24 </w:t>
            </w:r>
          </w:p>
        </w:tc>
      </w:tr>
      <w:tr w:rsidR="006F7B8C" w:rsidRPr="006F7B8C" w:rsidTr="00B57856">
        <w:trPr>
          <w:trHeight w:val="340"/>
        </w:trPr>
        <w:tc>
          <w:tcPr>
            <w:tcW w:w="2267" w:type="dxa"/>
            <w:tcBorders>
              <w:top w:val="nil"/>
              <w:left w:val="nil"/>
              <w:bottom w:val="single" w:sz="4" w:space="0" w:color="auto"/>
              <w:right w:val="nil"/>
            </w:tcBorders>
            <w:shd w:val="clear" w:color="000000" w:fill="FFFFFF"/>
            <w:noWrap/>
            <w:vAlign w:val="center"/>
            <w:hideMark/>
          </w:tcPr>
          <w:p w:rsidR="006F7B8C" w:rsidRPr="006F7B8C" w:rsidRDefault="006F7B8C" w:rsidP="006F7B8C">
            <w:pPr>
              <w:spacing w:after="0" w:line="240" w:lineRule="auto"/>
              <w:contextualSpacing w:val="0"/>
              <w:jc w:val="center"/>
              <w:rPr>
                <w:rFonts w:eastAsia="Times New Roman" w:cs="Arial"/>
                <w:color w:val="000000"/>
                <w:szCs w:val="24"/>
                <w:lang w:eastAsia="pt-BR"/>
              </w:rPr>
            </w:pPr>
            <w:r w:rsidRPr="006F7B8C">
              <w:rPr>
                <w:rFonts w:eastAsia="Times New Roman" w:cs="Arial"/>
                <w:color w:val="000000"/>
                <w:szCs w:val="24"/>
                <w:lang w:eastAsia="pt-BR"/>
              </w:rPr>
              <w:t>Cenário 4</w:t>
            </w:r>
          </w:p>
        </w:tc>
        <w:tc>
          <w:tcPr>
            <w:tcW w:w="2268" w:type="dxa"/>
            <w:tcBorders>
              <w:top w:val="nil"/>
              <w:left w:val="nil"/>
              <w:bottom w:val="single" w:sz="4" w:space="0" w:color="auto"/>
              <w:right w:val="nil"/>
            </w:tcBorders>
            <w:shd w:val="clear" w:color="000000" w:fill="FFFFFF"/>
            <w:noWrap/>
            <w:vAlign w:val="center"/>
            <w:hideMark/>
          </w:tcPr>
          <w:p w:rsidR="006F7B8C" w:rsidRPr="006F7B8C" w:rsidRDefault="006F7B8C" w:rsidP="006F7B8C">
            <w:pPr>
              <w:spacing w:after="0" w:line="240" w:lineRule="auto"/>
              <w:contextualSpacing w:val="0"/>
              <w:jc w:val="center"/>
              <w:rPr>
                <w:rFonts w:eastAsia="Times New Roman" w:cs="Arial"/>
                <w:color w:val="000000"/>
                <w:szCs w:val="24"/>
                <w:lang w:eastAsia="pt-BR"/>
              </w:rPr>
            </w:pPr>
            <w:r w:rsidRPr="006F7B8C">
              <w:rPr>
                <w:rFonts w:eastAsia="Times New Roman" w:cs="Arial"/>
                <w:color w:val="000000"/>
                <w:szCs w:val="24"/>
                <w:lang w:eastAsia="pt-BR"/>
              </w:rPr>
              <w:t>5,25%</w:t>
            </w:r>
          </w:p>
        </w:tc>
        <w:tc>
          <w:tcPr>
            <w:tcW w:w="2268" w:type="dxa"/>
            <w:tcBorders>
              <w:top w:val="nil"/>
              <w:left w:val="nil"/>
              <w:bottom w:val="single" w:sz="4" w:space="0" w:color="auto"/>
              <w:right w:val="nil"/>
            </w:tcBorders>
            <w:shd w:val="clear" w:color="000000" w:fill="FFFFFF"/>
            <w:noWrap/>
            <w:vAlign w:val="center"/>
            <w:hideMark/>
          </w:tcPr>
          <w:p w:rsidR="006F7B8C" w:rsidRPr="006F7B8C" w:rsidRDefault="002435D4" w:rsidP="006F7B8C">
            <w:pPr>
              <w:spacing w:after="0" w:line="240" w:lineRule="auto"/>
              <w:contextualSpacing w:val="0"/>
              <w:jc w:val="center"/>
              <w:rPr>
                <w:rFonts w:eastAsia="Times New Roman" w:cs="Arial"/>
                <w:color w:val="000000"/>
                <w:szCs w:val="24"/>
                <w:lang w:eastAsia="pt-BR"/>
              </w:rPr>
            </w:pPr>
            <w:r>
              <w:rPr>
                <w:rFonts w:eastAsia="Times New Roman" w:cs="Arial"/>
                <w:color w:val="000000"/>
                <w:szCs w:val="24"/>
                <w:lang w:eastAsia="pt-BR"/>
              </w:rPr>
              <w:t>14</w:t>
            </w:r>
            <w:r w:rsidR="006F7B8C" w:rsidRPr="006F7B8C">
              <w:rPr>
                <w:rFonts w:eastAsia="Times New Roman" w:cs="Arial"/>
                <w:color w:val="000000"/>
                <w:szCs w:val="24"/>
                <w:lang w:eastAsia="pt-BR"/>
              </w:rPr>
              <w:t>,00%</w:t>
            </w:r>
          </w:p>
        </w:tc>
        <w:tc>
          <w:tcPr>
            <w:tcW w:w="2268" w:type="dxa"/>
            <w:tcBorders>
              <w:top w:val="nil"/>
              <w:left w:val="nil"/>
              <w:bottom w:val="single" w:sz="4" w:space="0" w:color="auto"/>
              <w:right w:val="nil"/>
            </w:tcBorders>
            <w:shd w:val="clear" w:color="000000" w:fill="FFFFFF"/>
            <w:noWrap/>
            <w:vAlign w:val="center"/>
            <w:hideMark/>
          </w:tcPr>
          <w:p w:rsidR="006F7B8C" w:rsidRPr="006F7B8C" w:rsidRDefault="006F7B8C" w:rsidP="006F7B8C">
            <w:pPr>
              <w:spacing w:after="0" w:line="240" w:lineRule="auto"/>
              <w:contextualSpacing w:val="0"/>
              <w:jc w:val="center"/>
              <w:rPr>
                <w:rFonts w:eastAsia="Times New Roman" w:cs="Arial"/>
                <w:color w:val="000000"/>
                <w:szCs w:val="24"/>
                <w:lang w:eastAsia="pt-BR"/>
              </w:rPr>
            </w:pPr>
            <w:r w:rsidRPr="006F7B8C">
              <w:rPr>
                <w:rFonts w:eastAsia="Times New Roman" w:cs="Arial"/>
                <w:color w:val="000000"/>
                <w:szCs w:val="24"/>
                <w:lang w:eastAsia="pt-BR"/>
              </w:rPr>
              <w:t xml:space="preserve"> R$     3,16 </w:t>
            </w:r>
          </w:p>
        </w:tc>
      </w:tr>
      <w:tr w:rsidR="006F7B8C" w:rsidRPr="006F7B8C" w:rsidTr="00B57856">
        <w:trPr>
          <w:trHeight w:val="340"/>
        </w:trPr>
        <w:tc>
          <w:tcPr>
            <w:tcW w:w="2267" w:type="dxa"/>
            <w:tcBorders>
              <w:top w:val="nil"/>
              <w:left w:val="nil"/>
              <w:bottom w:val="single" w:sz="4" w:space="0" w:color="auto"/>
              <w:right w:val="nil"/>
            </w:tcBorders>
            <w:shd w:val="clear" w:color="000000" w:fill="FFFFFF"/>
            <w:noWrap/>
            <w:vAlign w:val="center"/>
            <w:hideMark/>
          </w:tcPr>
          <w:p w:rsidR="006F7B8C" w:rsidRPr="006F7B8C" w:rsidRDefault="006F7B8C" w:rsidP="006F7B8C">
            <w:pPr>
              <w:spacing w:after="0" w:line="240" w:lineRule="auto"/>
              <w:contextualSpacing w:val="0"/>
              <w:jc w:val="center"/>
              <w:rPr>
                <w:rFonts w:eastAsia="Times New Roman" w:cs="Arial"/>
                <w:color w:val="000000"/>
                <w:szCs w:val="24"/>
                <w:lang w:eastAsia="pt-BR"/>
              </w:rPr>
            </w:pPr>
            <w:r w:rsidRPr="006F7B8C">
              <w:rPr>
                <w:rFonts w:eastAsia="Times New Roman" w:cs="Arial"/>
                <w:color w:val="000000"/>
                <w:szCs w:val="24"/>
                <w:lang w:eastAsia="pt-BR"/>
              </w:rPr>
              <w:t>Cenário 5</w:t>
            </w:r>
          </w:p>
        </w:tc>
        <w:tc>
          <w:tcPr>
            <w:tcW w:w="2268" w:type="dxa"/>
            <w:tcBorders>
              <w:top w:val="nil"/>
              <w:left w:val="nil"/>
              <w:bottom w:val="single" w:sz="4" w:space="0" w:color="auto"/>
              <w:right w:val="nil"/>
            </w:tcBorders>
            <w:shd w:val="clear" w:color="000000" w:fill="FFFFFF"/>
            <w:noWrap/>
            <w:vAlign w:val="center"/>
            <w:hideMark/>
          </w:tcPr>
          <w:p w:rsidR="006F7B8C" w:rsidRPr="006F7B8C" w:rsidRDefault="006F7B8C" w:rsidP="006F7B8C">
            <w:pPr>
              <w:spacing w:after="0" w:line="240" w:lineRule="auto"/>
              <w:contextualSpacing w:val="0"/>
              <w:jc w:val="center"/>
              <w:rPr>
                <w:rFonts w:eastAsia="Times New Roman" w:cs="Arial"/>
                <w:color w:val="000000"/>
                <w:szCs w:val="24"/>
                <w:lang w:eastAsia="pt-BR"/>
              </w:rPr>
            </w:pPr>
            <w:r w:rsidRPr="006F7B8C">
              <w:rPr>
                <w:rFonts w:eastAsia="Times New Roman" w:cs="Arial"/>
                <w:color w:val="000000"/>
                <w:szCs w:val="24"/>
                <w:lang w:eastAsia="pt-BR"/>
              </w:rPr>
              <w:t>5,25%</w:t>
            </w:r>
          </w:p>
        </w:tc>
        <w:tc>
          <w:tcPr>
            <w:tcW w:w="2268" w:type="dxa"/>
            <w:tcBorders>
              <w:top w:val="nil"/>
              <w:left w:val="nil"/>
              <w:bottom w:val="single" w:sz="4" w:space="0" w:color="auto"/>
              <w:right w:val="nil"/>
            </w:tcBorders>
            <w:shd w:val="clear" w:color="000000" w:fill="FFFFFF"/>
            <w:noWrap/>
            <w:vAlign w:val="center"/>
            <w:hideMark/>
          </w:tcPr>
          <w:p w:rsidR="006F7B8C" w:rsidRPr="006F7B8C" w:rsidRDefault="006F7B8C" w:rsidP="002435D4">
            <w:pPr>
              <w:spacing w:after="0" w:line="240" w:lineRule="auto"/>
              <w:contextualSpacing w:val="0"/>
              <w:jc w:val="center"/>
              <w:rPr>
                <w:rFonts w:eastAsia="Times New Roman" w:cs="Arial"/>
                <w:color w:val="000000"/>
                <w:szCs w:val="24"/>
                <w:lang w:eastAsia="pt-BR"/>
              </w:rPr>
            </w:pPr>
            <w:r w:rsidRPr="006F7B8C">
              <w:rPr>
                <w:rFonts w:eastAsia="Times New Roman" w:cs="Arial"/>
                <w:color w:val="000000"/>
                <w:szCs w:val="24"/>
                <w:lang w:eastAsia="pt-BR"/>
              </w:rPr>
              <w:t>1</w:t>
            </w:r>
            <w:r w:rsidR="002435D4">
              <w:rPr>
                <w:rFonts w:eastAsia="Times New Roman" w:cs="Arial"/>
                <w:color w:val="000000"/>
                <w:szCs w:val="24"/>
                <w:lang w:eastAsia="pt-BR"/>
              </w:rPr>
              <w:t>4</w:t>
            </w:r>
            <w:r w:rsidRPr="006F7B8C">
              <w:rPr>
                <w:rFonts w:eastAsia="Times New Roman" w:cs="Arial"/>
                <w:color w:val="000000"/>
                <w:szCs w:val="24"/>
                <w:lang w:eastAsia="pt-BR"/>
              </w:rPr>
              <w:t>,00%</w:t>
            </w:r>
          </w:p>
        </w:tc>
        <w:tc>
          <w:tcPr>
            <w:tcW w:w="2268" w:type="dxa"/>
            <w:tcBorders>
              <w:top w:val="nil"/>
              <w:left w:val="nil"/>
              <w:bottom w:val="single" w:sz="4" w:space="0" w:color="auto"/>
              <w:right w:val="nil"/>
            </w:tcBorders>
            <w:shd w:val="clear" w:color="000000" w:fill="FFFFFF"/>
            <w:noWrap/>
            <w:vAlign w:val="center"/>
            <w:hideMark/>
          </w:tcPr>
          <w:p w:rsidR="006F7B8C" w:rsidRPr="006F7B8C" w:rsidRDefault="006F7B8C" w:rsidP="006F7B8C">
            <w:pPr>
              <w:spacing w:after="0" w:line="240" w:lineRule="auto"/>
              <w:contextualSpacing w:val="0"/>
              <w:jc w:val="center"/>
              <w:rPr>
                <w:rFonts w:eastAsia="Times New Roman" w:cs="Arial"/>
                <w:color w:val="000000"/>
                <w:szCs w:val="24"/>
                <w:lang w:eastAsia="pt-BR"/>
              </w:rPr>
            </w:pPr>
            <w:r w:rsidRPr="006F7B8C">
              <w:rPr>
                <w:rFonts w:eastAsia="Times New Roman" w:cs="Arial"/>
                <w:color w:val="000000"/>
                <w:szCs w:val="24"/>
                <w:lang w:eastAsia="pt-BR"/>
              </w:rPr>
              <w:t xml:space="preserve"> R$     4,24 </w:t>
            </w:r>
          </w:p>
        </w:tc>
      </w:tr>
      <w:tr w:rsidR="006F7B8C" w:rsidRPr="006F7B8C" w:rsidTr="00B57856">
        <w:trPr>
          <w:trHeight w:val="340"/>
        </w:trPr>
        <w:tc>
          <w:tcPr>
            <w:tcW w:w="2267" w:type="dxa"/>
            <w:tcBorders>
              <w:top w:val="nil"/>
              <w:left w:val="nil"/>
              <w:bottom w:val="single" w:sz="4" w:space="0" w:color="auto"/>
              <w:right w:val="nil"/>
            </w:tcBorders>
            <w:shd w:val="clear" w:color="000000" w:fill="FFFFFF"/>
            <w:noWrap/>
            <w:vAlign w:val="center"/>
            <w:hideMark/>
          </w:tcPr>
          <w:p w:rsidR="006F7B8C" w:rsidRPr="006F7B8C" w:rsidRDefault="006F7B8C" w:rsidP="006F7B8C">
            <w:pPr>
              <w:spacing w:after="0" w:line="240" w:lineRule="auto"/>
              <w:contextualSpacing w:val="0"/>
              <w:jc w:val="center"/>
              <w:rPr>
                <w:rFonts w:eastAsia="Times New Roman" w:cs="Arial"/>
                <w:color w:val="000000"/>
                <w:szCs w:val="24"/>
                <w:lang w:eastAsia="pt-BR"/>
              </w:rPr>
            </w:pPr>
            <w:r w:rsidRPr="006F7B8C">
              <w:rPr>
                <w:rFonts w:eastAsia="Times New Roman" w:cs="Arial"/>
                <w:color w:val="000000"/>
                <w:szCs w:val="24"/>
                <w:lang w:eastAsia="pt-BR"/>
              </w:rPr>
              <w:t>Cenário 6</w:t>
            </w:r>
          </w:p>
        </w:tc>
        <w:tc>
          <w:tcPr>
            <w:tcW w:w="2268" w:type="dxa"/>
            <w:tcBorders>
              <w:top w:val="nil"/>
              <w:left w:val="nil"/>
              <w:bottom w:val="single" w:sz="4" w:space="0" w:color="auto"/>
              <w:right w:val="nil"/>
            </w:tcBorders>
            <w:shd w:val="clear" w:color="000000" w:fill="FFFFFF"/>
            <w:noWrap/>
            <w:vAlign w:val="center"/>
            <w:hideMark/>
          </w:tcPr>
          <w:p w:rsidR="006F7B8C" w:rsidRPr="006F7B8C" w:rsidRDefault="006F7B8C" w:rsidP="006F7B8C">
            <w:pPr>
              <w:spacing w:after="0" w:line="240" w:lineRule="auto"/>
              <w:contextualSpacing w:val="0"/>
              <w:jc w:val="center"/>
              <w:rPr>
                <w:rFonts w:eastAsia="Times New Roman" w:cs="Arial"/>
                <w:color w:val="000000"/>
                <w:szCs w:val="24"/>
                <w:lang w:eastAsia="pt-BR"/>
              </w:rPr>
            </w:pPr>
            <w:r w:rsidRPr="006F7B8C">
              <w:rPr>
                <w:rFonts w:eastAsia="Times New Roman" w:cs="Arial"/>
                <w:color w:val="000000"/>
                <w:szCs w:val="24"/>
                <w:lang w:eastAsia="pt-BR"/>
              </w:rPr>
              <w:t>5,75%</w:t>
            </w:r>
          </w:p>
        </w:tc>
        <w:tc>
          <w:tcPr>
            <w:tcW w:w="2268" w:type="dxa"/>
            <w:tcBorders>
              <w:top w:val="nil"/>
              <w:left w:val="nil"/>
              <w:bottom w:val="single" w:sz="4" w:space="0" w:color="auto"/>
              <w:right w:val="nil"/>
            </w:tcBorders>
            <w:shd w:val="clear" w:color="000000" w:fill="FFFFFF"/>
            <w:noWrap/>
            <w:vAlign w:val="center"/>
            <w:hideMark/>
          </w:tcPr>
          <w:p w:rsidR="006F7B8C" w:rsidRPr="006F7B8C" w:rsidRDefault="006F7B8C" w:rsidP="006F7B8C">
            <w:pPr>
              <w:spacing w:after="0" w:line="240" w:lineRule="auto"/>
              <w:contextualSpacing w:val="0"/>
              <w:jc w:val="center"/>
              <w:rPr>
                <w:rFonts w:eastAsia="Times New Roman" w:cs="Arial"/>
                <w:color w:val="000000"/>
                <w:szCs w:val="24"/>
                <w:lang w:eastAsia="pt-BR"/>
              </w:rPr>
            </w:pPr>
            <w:r w:rsidRPr="006F7B8C">
              <w:rPr>
                <w:rFonts w:eastAsia="Times New Roman" w:cs="Arial"/>
                <w:color w:val="000000"/>
                <w:szCs w:val="24"/>
                <w:lang w:eastAsia="pt-BR"/>
              </w:rPr>
              <w:t>6,17%</w:t>
            </w:r>
          </w:p>
        </w:tc>
        <w:tc>
          <w:tcPr>
            <w:tcW w:w="2268" w:type="dxa"/>
            <w:tcBorders>
              <w:top w:val="nil"/>
              <w:left w:val="nil"/>
              <w:bottom w:val="single" w:sz="4" w:space="0" w:color="auto"/>
              <w:right w:val="nil"/>
            </w:tcBorders>
            <w:shd w:val="clear" w:color="000000" w:fill="FFFFFF"/>
            <w:noWrap/>
            <w:vAlign w:val="center"/>
            <w:hideMark/>
          </w:tcPr>
          <w:p w:rsidR="006F7B8C" w:rsidRPr="006F7B8C" w:rsidRDefault="006F7B8C" w:rsidP="006F7B8C">
            <w:pPr>
              <w:spacing w:after="0" w:line="240" w:lineRule="auto"/>
              <w:contextualSpacing w:val="0"/>
              <w:jc w:val="center"/>
              <w:rPr>
                <w:rFonts w:eastAsia="Times New Roman" w:cs="Arial"/>
                <w:color w:val="000000"/>
                <w:szCs w:val="24"/>
                <w:lang w:eastAsia="pt-BR"/>
              </w:rPr>
            </w:pPr>
            <w:r w:rsidRPr="006F7B8C">
              <w:rPr>
                <w:rFonts w:eastAsia="Times New Roman" w:cs="Arial"/>
                <w:color w:val="000000"/>
                <w:szCs w:val="24"/>
                <w:lang w:eastAsia="pt-BR"/>
              </w:rPr>
              <w:t xml:space="preserve"> R$     3,16 </w:t>
            </w:r>
          </w:p>
        </w:tc>
      </w:tr>
      <w:tr w:rsidR="006F7B8C" w:rsidRPr="006F7B8C" w:rsidTr="00B57856">
        <w:trPr>
          <w:trHeight w:val="340"/>
        </w:trPr>
        <w:tc>
          <w:tcPr>
            <w:tcW w:w="2267" w:type="dxa"/>
            <w:tcBorders>
              <w:top w:val="nil"/>
              <w:left w:val="nil"/>
              <w:bottom w:val="single" w:sz="4" w:space="0" w:color="auto"/>
              <w:right w:val="nil"/>
            </w:tcBorders>
            <w:shd w:val="clear" w:color="000000" w:fill="FFFFFF"/>
            <w:noWrap/>
            <w:vAlign w:val="center"/>
            <w:hideMark/>
          </w:tcPr>
          <w:p w:rsidR="006F7B8C" w:rsidRPr="006F7B8C" w:rsidRDefault="006F7B8C" w:rsidP="006F7B8C">
            <w:pPr>
              <w:spacing w:after="0" w:line="240" w:lineRule="auto"/>
              <w:contextualSpacing w:val="0"/>
              <w:jc w:val="center"/>
              <w:rPr>
                <w:rFonts w:eastAsia="Times New Roman" w:cs="Arial"/>
                <w:color w:val="000000"/>
                <w:szCs w:val="24"/>
                <w:lang w:eastAsia="pt-BR"/>
              </w:rPr>
            </w:pPr>
            <w:r w:rsidRPr="006F7B8C">
              <w:rPr>
                <w:rFonts w:eastAsia="Times New Roman" w:cs="Arial"/>
                <w:color w:val="000000"/>
                <w:szCs w:val="24"/>
                <w:lang w:eastAsia="pt-BR"/>
              </w:rPr>
              <w:t>Cenário 7</w:t>
            </w:r>
          </w:p>
        </w:tc>
        <w:tc>
          <w:tcPr>
            <w:tcW w:w="2268" w:type="dxa"/>
            <w:tcBorders>
              <w:top w:val="nil"/>
              <w:left w:val="nil"/>
              <w:bottom w:val="single" w:sz="4" w:space="0" w:color="auto"/>
              <w:right w:val="nil"/>
            </w:tcBorders>
            <w:shd w:val="clear" w:color="000000" w:fill="FFFFFF"/>
            <w:noWrap/>
            <w:vAlign w:val="center"/>
            <w:hideMark/>
          </w:tcPr>
          <w:p w:rsidR="006F7B8C" w:rsidRPr="006F7B8C" w:rsidRDefault="006F7B8C" w:rsidP="006F7B8C">
            <w:pPr>
              <w:spacing w:after="0" w:line="240" w:lineRule="auto"/>
              <w:contextualSpacing w:val="0"/>
              <w:jc w:val="center"/>
              <w:rPr>
                <w:rFonts w:eastAsia="Times New Roman" w:cs="Arial"/>
                <w:color w:val="000000"/>
                <w:szCs w:val="24"/>
                <w:lang w:eastAsia="pt-BR"/>
              </w:rPr>
            </w:pPr>
            <w:r w:rsidRPr="006F7B8C">
              <w:rPr>
                <w:rFonts w:eastAsia="Times New Roman" w:cs="Arial"/>
                <w:color w:val="000000"/>
                <w:szCs w:val="24"/>
                <w:lang w:eastAsia="pt-BR"/>
              </w:rPr>
              <w:t>5,75%</w:t>
            </w:r>
          </w:p>
        </w:tc>
        <w:tc>
          <w:tcPr>
            <w:tcW w:w="2268" w:type="dxa"/>
            <w:tcBorders>
              <w:top w:val="nil"/>
              <w:left w:val="nil"/>
              <w:bottom w:val="single" w:sz="4" w:space="0" w:color="auto"/>
              <w:right w:val="nil"/>
            </w:tcBorders>
            <w:shd w:val="clear" w:color="000000" w:fill="FFFFFF"/>
            <w:noWrap/>
            <w:vAlign w:val="center"/>
            <w:hideMark/>
          </w:tcPr>
          <w:p w:rsidR="006F7B8C" w:rsidRPr="006F7B8C" w:rsidRDefault="006F7B8C" w:rsidP="006F7B8C">
            <w:pPr>
              <w:spacing w:after="0" w:line="240" w:lineRule="auto"/>
              <w:contextualSpacing w:val="0"/>
              <w:jc w:val="center"/>
              <w:rPr>
                <w:rFonts w:eastAsia="Times New Roman" w:cs="Arial"/>
                <w:color w:val="000000"/>
                <w:szCs w:val="24"/>
                <w:lang w:eastAsia="pt-BR"/>
              </w:rPr>
            </w:pPr>
            <w:r w:rsidRPr="006F7B8C">
              <w:rPr>
                <w:rFonts w:eastAsia="Times New Roman" w:cs="Arial"/>
                <w:color w:val="000000"/>
                <w:szCs w:val="24"/>
                <w:lang w:eastAsia="pt-BR"/>
              </w:rPr>
              <w:t>6,17%</w:t>
            </w:r>
          </w:p>
        </w:tc>
        <w:tc>
          <w:tcPr>
            <w:tcW w:w="2268" w:type="dxa"/>
            <w:tcBorders>
              <w:top w:val="nil"/>
              <w:left w:val="nil"/>
              <w:bottom w:val="single" w:sz="4" w:space="0" w:color="auto"/>
              <w:right w:val="nil"/>
            </w:tcBorders>
            <w:shd w:val="clear" w:color="000000" w:fill="FFFFFF"/>
            <w:noWrap/>
            <w:vAlign w:val="center"/>
            <w:hideMark/>
          </w:tcPr>
          <w:p w:rsidR="006F7B8C" w:rsidRPr="006F7B8C" w:rsidRDefault="006F7B8C" w:rsidP="006F7B8C">
            <w:pPr>
              <w:spacing w:after="0" w:line="240" w:lineRule="auto"/>
              <w:contextualSpacing w:val="0"/>
              <w:jc w:val="center"/>
              <w:rPr>
                <w:rFonts w:eastAsia="Times New Roman" w:cs="Arial"/>
                <w:color w:val="000000"/>
                <w:szCs w:val="24"/>
                <w:lang w:eastAsia="pt-BR"/>
              </w:rPr>
            </w:pPr>
            <w:r w:rsidRPr="006F7B8C">
              <w:rPr>
                <w:rFonts w:eastAsia="Times New Roman" w:cs="Arial"/>
                <w:color w:val="000000"/>
                <w:szCs w:val="24"/>
                <w:lang w:eastAsia="pt-BR"/>
              </w:rPr>
              <w:t xml:space="preserve"> R$     4,24 </w:t>
            </w:r>
          </w:p>
        </w:tc>
      </w:tr>
      <w:tr w:rsidR="006F7B8C" w:rsidRPr="006F7B8C" w:rsidTr="00B57856">
        <w:trPr>
          <w:trHeight w:val="340"/>
        </w:trPr>
        <w:tc>
          <w:tcPr>
            <w:tcW w:w="2267" w:type="dxa"/>
            <w:tcBorders>
              <w:top w:val="nil"/>
              <w:left w:val="nil"/>
              <w:bottom w:val="single" w:sz="4" w:space="0" w:color="auto"/>
              <w:right w:val="nil"/>
            </w:tcBorders>
            <w:shd w:val="clear" w:color="000000" w:fill="FFFFFF"/>
            <w:noWrap/>
            <w:vAlign w:val="center"/>
            <w:hideMark/>
          </w:tcPr>
          <w:p w:rsidR="006F7B8C" w:rsidRPr="006F7B8C" w:rsidRDefault="006F7B8C" w:rsidP="006F7B8C">
            <w:pPr>
              <w:spacing w:after="0" w:line="240" w:lineRule="auto"/>
              <w:contextualSpacing w:val="0"/>
              <w:jc w:val="center"/>
              <w:rPr>
                <w:rFonts w:eastAsia="Times New Roman" w:cs="Arial"/>
                <w:color w:val="000000"/>
                <w:szCs w:val="24"/>
                <w:lang w:eastAsia="pt-BR"/>
              </w:rPr>
            </w:pPr>
            <w:r w:rsidRPr="006F7B8C">
              <w:rPr>
                <w:rFonts w:eastAsia="Times New Roman" w:cs="Arial"/>
                <w:color w:val="000000"/>
                <w:szCs w:val="24"/>
                <w:lang w:eastAsia="pt-BR"/>
              </w:rPr>
              <w:t>Cenário 8</w:t>
            </w:r>
          </w:p>
        </w:tc>
        <w:tc>
          <w:tcPr>
            <w:tcW w:w="2268" w:type="dxa"/>
            <w:tcBorders>
              <w:top w:val="nil"/>
              <w:left w:val="nil"/>
              <w:bottom w:val="single" w:sz="4" w:space="0" w:color="auto"/>
              <w:right w:val="nil"/>
            </w:tcBorders>
            <w:shd w:val="clear" w:color="000000" w:fill="FFFFFF"/>
            <w:noWrap/>
            <w:vAlign w:val="center"/>
            <w:hideMark/>
          </w:tcPr>
          <w:p w:rsidR="006F7B8C" w:rsidRPr="006F7B8C" w:rsidRDefault="006F7B8C" w:rsidP="006F7B8C">
            <w:pPr>
              <w:spacing w:after="0" w:line="240" w:lineRule="auto"/>
              <w:contextualSpacing w:val="0"/>
              <w:jc w:val="center"/>
              <w:rPr>
                <w:rFonts w:eastAsia="Times New Roman" w:cs="Arial"/>
                <w:color w:val="000000"/>
                <w:szCs w:val="24"/>
                <w:lang w:eastAsia="pt-BR"/>
              </w:rPr>
            </w:pPr>
            <w:r w:rsidRPr="006F7B8C">
              <w:rPr>
                <w:rFonts w:eastAsia="Times New Roman" w:cs="Arial"/>
                <w:color w:val="000000"/>
                <w:szCs w:val="24"/>
                <w:lang w:eastAsia="pt-BR"/>
              </w:rPr>
              <w:t>5,75%</w:t>
            </w:r>
          </w:p>
        </w:tc>
        <w:tc>
          <w:tcPr>
            <w:tcW w:w="2268" w:type="dxa"/>
            <w:tcBorders>
              <w:top w:val="nil"/>
              <w:left w:val="nil"/>
              <w:bottom w:val="single" w:sz="4" w:space="0" w:color="auto"/>
              <w:right w:val="nil"/>
            </w:tcBorders>
            <w:shd w:val="clear" w:color="000000" w:fill="FFFFFF"/>
            <w:noWrap/>
            <w:vAlign w:val="center"/>
            <w:hideMark/>
          </w:tcPr>
          <w:p w:rsidR="006F7B8C" w:rsidRPr="006F7B8C" w:rsidRDefault="006F7B8C" w:rsidP="006F7B8C">
            <w:pPr>
              <w:spacing w:after="0" w:line="240" w:lineRule="auto"/>
              <w:contextualSpacing w:val="0"/>
              <w:jc w:val="center"/>
              <w:rPr>
                <w:rFonts w:eastAsia="Times New Roman" w:cs="Arial"/>
                <w:color w:val="000000"/>
                <w:szCs w:val="24"/>
                <w:lang w:eastAsia="pt-BR"/>
              </w:rPr>
            </w:pPr>
            <w:r w:rsidRPr="006F7B8C">
              <w:rPr>
                <w:rFonts w:eastAsia="Times New Roman" w:cs="Arial"/>
                <w:color w:val="000000"/>
                <w:szCs w:val="24"/>
                <w:lang w:eastAsia="pt-BR"/>
              </w:rPr>
              <w:t>10,25%</w:t>
            </w:r>
          </w:p>
        </w:tc>
        <w:tc>
          <w:tcPr>
            <w:tcW w:w="2268" w:type="dxa"/>
            <w:tcBorders>
              <w:top w:val="nil"/>
              <w:left w:val="nil"/>
              <w:bottom w:val="single" w:sz="4" w:space="0" w:color="auto"/>
              <w:right w:val="nil"/>
            </w:tcBorders>
            <w:shd w:val="clear" w:color="000000" w:fill="FFFFFF"/>
            <w:noWrap/>
            <w:vAlign w:val="center"/>
            <w:hideMark/>
          </w:tcPr>
          <w:p w:rsidR="006F7B8C" w:rsidRPr="006F7B8C" w:rsidRDefault="006F7B8C" w:rsidP="006F7B8C">
            <w:pPr>
              <w:spacing w:after="0" w:line="240" w:lineRule="auto"/>
              <w:contextualSpacing w:val="0"/>
              <w:jc w:val="center"/>
              <w:rPr>
                <w:rFonts w:eastAsia="Times New Roman" w:cs="Arial"/>
                <w:color w:val="000000"/>
                <w:szCs w:val="24"/>
                <w:lang w:eastAsia="pt-BR"/>
              </w:rPr>
            </w:pPr>
            <w:r w:rsidRPr="006F7B8C">
              <w:rPr>
                <w:rFonts w:eastAsia="Times New Roman" w:cs="Arial"/>
                <w:color w:val="000000"/>
                <w:szCs w:val="24"/>
                <w:lang w:eastAsia="pt-BR"/>
              </w:rPr>
              <w:t xml:space="preserve"> R$     3,16 </w:t>
            </w:r>
          </w:p>
        </w:tc>
      </w:tr>
      <w:tr w:rsidR="006F7B8C" w:rsidRPr="006F7B8C" w:rsidTr="00B57856">
        <w:trPr>
          <w:trHeight w:val="340"/>
        </w:trPr>
        <w:tc>
          <w:tcPr>
            <w:tcW w:w="2267" w:type="dxa"/>
            <w:tcBorders>
              <w:top w:val="nil"/>
              <w:left w:val="nil"/>
              <w:bottom w:val="single" w:sz="4" w:space="0" w:color="auto"/>
              <w:right w:val="nil"/>
            </w:tcBorders>
            <w:shd w:val="clear" w:color="000000" w:fill="FFFFFF"/>
            <w:noWrap/>
            <w:vAlign w:val="center"/>
            <w:hideMark/>
          </w:tcPr>
          <w:p w:rsidR="006F7B8C" w:rsidRPr="006F7B8C" w:rsidRDefault="006F7B8C" w:rsidP="006F7B8C">
            <w:pPr>
              <w:spacing w:after="0" w:line="240" w:lineRule="auto"/>
              <w:contextualSpacing w:val="0"/>
              <w:jc w:val="center"/>
              <w:rPr>
                <w:rFonts w:eastAsia="Times New Roman" w:cs="Arial"/>
                <w:color w:val="000000"/>
                <w:szCs w:val="24"/>
                <w:lang w:eastAsia="pt-BR"/>
              </w:rPr>
            </w:pPr>
            <w:r w:rsidRPr="006F7B8C">
              <w:rPr>
                <w:rFonts w:eastAsia="Times New Roman" w:cs="Arial"/>
                <w:color w:val="000000"/>
                <w:szCs w:val="24"/>
                <w:lang w:eastAsia="pt-BR"/>
              </w:rPr>
              <w:t>Cenário 9</w:t>
            </w:r>
          </w:p>
        </w:tc>
        <w:tc>
          <w:tcPr>
            <w:tcW w:w="2268" w:type="dxa"/>
            <w:tcBorders>
              <w:top w:val="nil"/>
              <w:left w:val="nil"/>
              <w:bottom w:val="single" w:sz="4" w:space="0" w:color="auto"/>
              <w:right w:val="nil"/>
            </w:tcBorders>
            <w:shd w:val="clear" w:color="000000" w:fill="FFFFFF"/>
            <w:noWrap/>
            <w:vAlign w:val="center"/>
            <w:hideMark/>
          </w:tcPr>
          <w:p w:rsidR="006F7B8C" w:rsidRPr="006F7B8C" w:rsidRDefault="006F7B8C" w:rsidP="006F7B8C">
            <w:pPr>
              <w:spacing w:after="0" w:line="240" w:lineRule="auto"/>
              <w:contextualSpacing w:val="0"/>
              <w:jc w:val="center"/>
              <w:rPr>
                <w:rFonts w:eastAsia="Times New Roman" w:cs="Arial"/>
                <w:color w:val="000000"/>
                <w:szCs w:val="24"/>
                <w:lang w:eastAsia="pt-BR"/>
              </w:rPr>
            </w:pPr>
            <w:r w:rsidRPr="006F7B8C">
              <w:rPr>
                <w:rFonts w:eastAsia="Times New Roman" w:cs="Arial"/>
                <w:color w:val="000000"/>
                <w:szCs w:val="24"/>
                <w:lang w:eastAsia="pt-BR"/>
              </w:rPr>
              <w:t>5,75%</w:t>
            </w:r>
          </w:p>
        </w:tc>
        <w:tc>
          <w:tcPr>
            <w:tcW w:w="2268" w:type="dxa"/>
            <w:tcBorders>
              <w:top w:val="nil"/>
              <w:left w:val="nil"/>
              <w:bottom w:val="single" w:sz="4" w:space="0" w:color="auto"/>
              <w:right w:val="nil"/>
            </w:tcBorders>
            <w:shd w:val="clear" w:color="000000" w:fill="FFFFFF"/>
            <w:noWrap/>
            <w:vAlign w:val="center"/>
            <w:hideMark/>
          </w:tcPr>
          <w:p w:rsidR="006F7B8C" w:rsidRPr="006F7B8C" w:rsidRDefault="006F7B8C" w:rsidP="006F7B8C">
            <w:pPr>
              <w:spacing w:after="0" w:line="240" w:lineRule="auto"/>
              <w:contextualSpacing w:val="0"/>
              <w:jc w:val="center"/>
              <w:rPr>
                <w:rFonts w:eastAsia="Times New Roman" w:cs="Arial"/>
                <w:color w:val="000000"/>
                <w:szCs w:val="24"/>
                <w:lang w:eastAsia="pt-BR"/>
              </w:rPr>
            </w:pPr>
            <w:r w:rsidRPr="006F7B8C">
              <w:rPr>
                <w:rFonts w:eastAsia="Times New Roman" w:cs="Arial"/>
                <w:color w:val="000000"/>
                <w:szCs w:val="24"/>
                <w:lang w:eastAsia="pt-BR"/>
              </w:rPr>
              <w:t>10,25%</w:t>
            </w:r>
          </w:p>
        </w:tc>
        <w:tc>
          <w:tcPr>
            <w:tcW w:w="2268" w:type="dxa"/>
            <w:tcBorders>
              <w:top w:val="nil"/>
              <w:left w:val="nil"/>
              <w:bottom w:val="single" w:sz="4" w:space="0" w:color="auto"/>
              <w:right w:val="nil"/>
            </w:tcBorders>
            <w:shd w:val="clear" w:color="000000" w:fill="FFFFFF"/>
            <w:noWrap/>
            <w:vAlign w:val="center"/>
            <w:hideMark/>
          </w:tcPr>
          <w:p w:rsidR="006F7B8C" w:rsidRPr="006F7B8C" w:rsidRDefault="006F7B8C" w:rsidP="006F7B8C">
            <w:pPr>
              <w:spacing w:after="0" w:line="240" w:lineRule="auto"/>
              <w:contextualSpacing w:val="0"/>
              <w:jc w:val="center"/>
              <w:rPr>
                <w:rFonts w:eastAsia="Times New Roman" w:cs="Arial"/>
                <w:color w:val="000000"/>
                <w:szCs w:val="24"/>
                <w:lang w:eastAsia="pt-BR"/>
              </w:rPr>
            </w:pPr>
            <w:r w:rsidRPr="006F7B8C">
              <w:rPr>
                <w:rFonts w:eastAsia="Times New Roman" w:cs="Arial"/>
                <w:color w:val="000000"/>
                <w:szCs w:val="24"/>
                <w:lang w:eastAsia="pt-BR"/>
              </w:rPr>
              <w:t xml:space="preserve"> R$     4,24 </w:t>
            </w:r>
          </w:p>
        </w:tc>
      </w:tr>
      <w:tr w:rsidR="006F7B8C" w:rsidRPr="006F7B8C" w:rsidTr="00B57856">
        <w:trPr>
          <w:trHeight w:val="340"/>
        </w:trPr>
        <w:tc>
          <w:tcPr>
            <w:tcW w:w="2267" w:type="dxa"/>
            <w:tcBorders>
              <w:top w:val="nil"/>
              <w:left w:val="nil"/>
              <w:bottom w:val="single" w:sz="4" w:space="0" w:color="auto"/>
              <w:right w:val="nil"/>
            </w:tcBorders>
            <w:shd w:val="clear" w:color="000000" w:fill="FFFFFF"/>
            <w:noWrap/>
            <w:vAlign w:val="center"/>
            <w:hideMark/>
          </w:tcPr>
          <w:p w:rsidR="006F7B8C" w:rsidRPr="006F7B8C" w:rsidRDefault="006F7B8C" w:rsidP="006F7B8C">
            <w:pPr>
              <w:spacing w:after="0" w:line="240" w:lineRule="auto"/>
              <w:contextualSpacing w:val="0"/>
              <w:jc w:val="center"/>
              <w:rPr>
                <w:rFonts w:eastAsia="Times New Roman" w:cs="Arial"/>
                <w:color w:val="000000"/>
                <w:szCs w:val="24"/>
                <w:lang w:eastAsia="pt-BR"/>
              </w:rPr>
            </w:pPr>
            <w:r w:rsidRPr="006F7B8C">
              <w:rPr>
                <w:rFonts w:eastAsia="Times New Roman" w:cs="Arial"/>
                <w:color w:val="000000"/>
                <w:szCs w:val="24"/>
                <w:lang w:eastAsia="pt-BR"/>
              </w:rPr>
              <w:t>Cenário 10</w:t>
            </w:r>
          </w:p>
        </w:tc>
        <w:tc>
          <w:tcPr>
            <w:tcW w:w="2268" w:type="dxa"/>
            <w:tcBorders>
              <w:top w:val="nil"/>
              <w:left w:val="nil"/>
              <w:bottom w:val="single" w:sz="4" w:space="0" w:color="auto"/>
              <w:right w:val="nil"/>
            </w:tcBorders>
            <w:shd w:val="clear" w:color="000000" w:fill="FFFFFF"/>
            <w:noWrap/>
            <w:vAlign w:val="center"/>
            <w:hideMark/>
          </w:tcPr>
          <w:p w:rsidR="006F7B8C" w:rsidRPr="006F7B8C" w:rsidRDefault="006F7B8C" w:rsidP="006F7B8C">
            <w:pPr>
              <w:spacing w:after="0" w:line="240" w:lineRule="auto"/>
              <w:contextualSpacing w:val="0"/>
              <w:jc w:val="center"/>
              <w:rPr>
                <w:rFonts w:eastAsia="Times New Roman" w:cs="Arial"/>
                <w:color w:val="000000"/>
                <w:szCs w:val="24"/>
                <w:lang w:eastAsia="pt-BR"/>
              </w:rPr>
            </w:pPr>
            <w:r w:rsidRPr="006F7B8C">
              <w:rPr>
                <w:rFonts w:eastAsia="Times New Roman" w:cs="Arial"/>
                <w:color w:val="000000"/>
                <w:szCs w:val="24"/>
                <w:lang w:eastAsia="pt-BR"/>
              </w:rPr>
              <w:t>5,75%</w:t>
            </w:r>
          </w:p>
        </w:tc>
        <w:tc>
          <w:tcPr>
            <w:tcW w:w="2268" w:type="dxa"/>
            <w:tcBorders>
              <w:top w:val="nil"/>
              <w:left w:val="nil"/>
              <w:bottom w:val="single" w:sz="4" w:space="0" w:color="auto"/>
              <w:right w:val="nil"/>
            </w:tcBorders>
            <w:shd w:val="clear" w:color="000000" w:fill="FFFFFF"/>
            <w:noWrap/>
            <w:vAlign w:val="center"/>
            <w:hideMark/>
          </w:tcPr>
          <w:p w:rsidR="006F7B8C" w:rsidRPr="006F7B8C" w:rsidRDefault="006F7B8C" w:rsidP="002435D4">
            <w:pPr>
              <w:spacing w:after="0" w:line="240" w:lineRule="auto"/>
              <w:contextualSpacing w:val="0"/>
              <w:jc w:val="center"/>
              <w:rPr>
                <w:rFonts w:eastAsia="Times New Roman" w:cs="Arial"/>
                <w:color w:val="000000"/>
                <w:szCs w:val="24"/>
                <w:lang w:eastAsia="pt-BR"/>
              </w:rPr>
            </w:pPr>
            <w:r w:rsidRPr="006F7B8C">
              <w:rPr>
                <w:rFonts w:eastAsia="Times New Roman" w:cs="Arial"/>
                <w:color w:val="000000"/>
                <w:szCs w:val="24"/>
                <w:lang w:eastAsia="pt-BR"/>
              </w:rPr>
              <w:t>1</w:t>
            </w:r>
            <w:r w:rsidR="002435D4">
              <w:rPr>
                <w:rFonts w:eastAsia="Times New Roman" w:cs="Arial"/>
                <w:color w:val="000000"/>
                <w:szCs w:val="24"/>
                <w:lang w:eastAsia="pt-BR"/>
              </w:rPr>
              <w:t>4</w:t>
            </w:r>
            <w:r w:rsidRPr="006F7B8C">
              <w:rPr>
                <w:rFonts w:eastAsia="Times New Roman" w:cs="Arial"/>
                <w:color w:val="000000"/>
                <w:szCs w:val="24"/>
                <w:lang w:eastAsia="pt-BR"/>
              </w:rPr>
              <w:t>,00%</w:t>
            </w:r>
          </w:p>
        </w:tc>
        <w:tc>
          <w:tcPr>
            <w:tcW w:w="2268" w:type="dxa"/>
            <w:tcBorders>
              <w:top w:val="nil"/>
              <w:left w:val="nil"/>
              <w:bottom w:val="single" w:sz="4" w:space="0" w:color="auto"/>
              <w:right w:val="nil"/>
            </w:tcBorders>
            <w:shd w:val="clear" w:color="000000" w:fill="FFFFFF"/>
            <w:noWrap/>
            <w:vAlign w:val="center"/>
            <w:hideMark/>
          </w:tcPr>
          <w:p w:rsidR="006F7B8C" w:rsidRPr="006F7B8C" w:rsidRDefault="006F7B8C" w:rsidP="006F7B8C">
            <w:pPr>
              <w:spacing w:after="0" w:line="240" w:lineRule="auto"/>
              <w:contextualSpacing w:val="0"/>
              <w:jc w:val="center"/>
              <w:rPr>
                <w:rFonts w:eastAsia="Times New Roman" w:cs="Arial"/>
                <w:color w:val="000000"/>
                <w:szCs w:val="24"/>
                <w:lang w:eastAsia="pt-BR"/>
              </w:rPr>
            </w:pPr>
            <w:r w:rsidRPr="006F7B8C">
              <w:rPr>
                <w:rFonts w:eastAsia="Times New Roman" w:cs="Arial"/>
                <w:color w:val="000000"/>
                <w:szCs w:val="24"/>
                <w:lang w:eastAsia="pt-BR"/>
              </w:rPr>
              <w:t xml:space="preserve"> R$     3,16 </w:t>
            </w:r>
          </w:p>
        </w:tc>
      </w:tr>
      <w:tr w:rsidR="006F7B8C" w:rsidRPr="0050114A" w:rsidTr="00B57856">
        <w:trPr>
          <w:trHeight w:val="340"/>
        </w:trPr>
        <w:tc>
          <w:tcPr>
            <w:tcW w:w="2267" w:type="dxa"/>
            <w:tcBorders>
              <w:top w:val="nil"/>
              <w:left w:val="nil"/>
              <w:bottom w:val="single" w:sz="4" w:space="0" w:color="auto"/>
              <w:right w:val="nil"/>
            </w:tcBorders>
            <w:shd w:val="clear" w:color="000000" w:fill="FFFFFF"/>
            <w:noWrap/>
            <w:vAlign w:val="center"/>
            <w:hideMark/>
          </w:tcPr>
          <w:p w:rsidR="006F7B8C" w:rsidRPr="0050114A" w:rsidRDefault="0050114A" w:rsidP="006F7B8C">
            <w:pPr>
              <w:spacing w:after="0" w:line="240" w:lineRule="auto"/>
              <w:contextualSpacing w:val="0"/>
              <w:jc w:val="center"/>
              <w:rPr>
                <w:rFonts w:eastAsia="Times New Roman" w:cs="Arial"/>
                <w:b/>
                <w:i/>
                <w:color w:val="000000"/>
                <w:szCs w:val="24"/>
                <w:lang w:eastAsia="pt-BR"/>
              </w:rPr>
            </w:pPr>
            <w:r w:rsidRPr="0050114A">
              <w:rPr>
                <w:rFonts w:eastAsia="Times New Roman" w:cs="Arial"/>
                <w:b/>
                <w:i/>
                <w:color w:val="000000"/>
                <w:szCs w:val="24"/>
                <w:lang w:eastAsia="pt-BR"/>
              </w:rPr>
              <w:t>Cenário Exigente</w:t>
            </w:r>
          </w:p>
        </w:tc>
        <w:tc>
          <w:tcPr>
            <w:tcW w:w="2268" w:type="dxa"/>
            <w:tcBorders>
              <w:top w:val="nil"/>
              <w:left w:val="nil"/>
              <w:bottom w:val="single" w:sz="4" w:space="0" w:color="auto"/>
              <w:right w:val="nil"/>
            </w:tcBorders>
            <w:shd w:val="clear" w:color="000000" w:fill="FFFFFF"/>
            <w:noWrap/>
            <w:vAlign w:val="center"/>
            <w:hideMark/>
          </w:tcPr>
          <w:p w:rsidR="006F7B8C" w:rsidRPr="0050114A" w:rsidRDefault="006F7B8C" w:rsidP="006F7B8C">
            <w:pPr>
              <w:spacing w:after="0" w:line="240" w:lineRule="auto"/>
              <w:contextualSpacing w:val="0"/>
              <w:jc w:val="center"/>
              <w:rPr>
                <w:rFonts w:eastAsia="Times New Roman" w:cs="Arial"/>
                <w:b/>
                <w:i/>
                <w:color w:val="000000"/>
                <w:szCs w:val="24"/>
                <w:lang w:eastAsia="pt-BR"/>
              </w:rPr>
            </w:pPr>
            <w:r w:rsidRPr="0050114A">
              <w:rPr>
                <w:rFonts w:eastAsia="Times New Roman" w:cs="Arial"/>
                <w:b/>
                <w:i/>
                <w:color w:val="000000"/>
                <w:szCs w:val="24"/>
                <w:lang w:eastAsia="pt-BR"/>
              </w:rPr>
              <w:t>5,75%</w:t>
            </w:r>
          </w:p>
        </w:tc>
        <w:tc>
          <w:tcPr>
            <w:tcW w:w="2268" w:type="dxa"/>
            <w:tcBorders>
              <w:top w:val="nil"/>
              <w:left w:val="nil"/>
              <w:bottom w:val="single" w:sz="4" w:space="0" w:color="auto"/>
              <w:right w:val="nil"/>
            </w:tcBorders>
            <w:shd w:val="clear" w:color="000000" w:fill="FFFFFF"/>
            <w:noWrap/>
            <w:vAlign w:val="center"/>
            <w:hideMark/>
          </w:tcPr>
          <w:p w:rsidR="006F7B8C" w:rsidRPr="0050114A" w:rsidRDefault="006F7B8C" w:rsidP="002435D4">
            <w:pPr>
              <w:spacing w:after="0" w:line="240" w:lineRule="auto"/>
              <w:contextualSpacing w:val="0"/>
              <w:jc w:val="center"/>
              <w:rPr>
                <w:rFonts w:eastAsia="Times New Roman" w:cs="Arial"/>
                <w:b/>
                <w:i/>
                <w:color w:val="000000"/>
                <w:szCs w:val="24"/>
                <w:lang w:eastAsia="pt-BR"/>
              </w:rPr>
            </w:pPr>
            <w:r w:rsidRPr="0050114A">
              <w:rPr>
                <w:rFonts w:eastAsia="Times New Roman" w:cs="Arial"/>
                <w:b/>
                <w:i/>
                <w:color w:val="000000"/>
                <w:szCs w:val="24"/>
                <w:lang w:eastAsia="pt-BR"/>
              </w:rPr>
              <w:t>1</w:t>
            </w:r>
            <w:r w:rsidR="002435D4">
              <w:rPr>
                <w:rFonts w:eastAsia="Times New Roman" w:cs="Arial"/>
                <w:b/>
                <w:i/>
                <w:color w:val="000000"/>
                <w:szCs w:val="24"/>
                <w:lang w:eastAsia="pt-BR"/>
              </w:rPr>
              <w:t>4</w:t>
            </w:r>
            <w:r w:rsidRPr="0050114A">
              <w:rPr>
                <w:rFonts w:eastAsia="Times New Roman" w:cs="Arial"/>
                <w:b/>
                <w:i/>
                <w:color w:val="000000"/>
                <w:szCs w:val="24"/>
                <w:lang w:eastAsia="pt-BR"/>
              </w:rPr>
              <w:t>,00%</w:t>
            </w:r>
          </w:p>
        </w:tc>
        <w:tc>
          <w:tcPr>
            <w:tcW w:w="2268" w:type="dxa"/>
            <w:tcBorders>
              <w:top w:val="nil"/>
              <w:left w:val="nil"/>
              <w:bottom w:val="single" w:sz="4" w:space="0" w:color="auto"/>
              <w:right w:val="nil"/>
            </w:tcBorders>
            <w:shd w:val="clear" w:color="000000" w:fill="FFFFFF"/>
            <w:noWrap/>
            <w:vAlign w:val="center"/>
            <w:hideMark/>
          </w:tcPr>
          <w:p w:rsidR="006F7B8C" w:rsidRPr="0050114A" w:rsidRDefault="006F7B8C" w:rsidP="006F7B8C">
            <w:pPr>
              <w:spacing w:after="0" w:line="240" w:lineRule="auto"/>
              <w:contextualSpacing w:val="0"/>
              <w:jc w:val="center"/>
              <w:rPr>
                <w:rFonts w:eastAsia="Times New Roman" w:cs="Arial"/>
                <w:b/>
                <w:i/>
                <w:color w:val="000000"/>
                <w:szCs w:val="24"/>
                <w:lang w:eastAsia="pt-BR"/>
              </w:rPr>
            </w:pPr>
            <w:r w:rsidRPr="0050114A">
              <w:rPr>
                <w:rFonts w:eastAsia="Times New Roman" w:cs="Arial"/>
                <w:b/>
                <w:i/>
                <w:color w:val="000000"/>
                <w:szCs w:val="24"/>
                <w:lang w:eastAsia="pt-BR"/>
              </w:rPr>
              <w:t xml:space="preserve"> R$     4,24 </w:t>
            </w:r>
          </w:p>
        </w:tc>
      </w:tr>
    </w:tbl>
    <w:p w:rsidR="00026000" w:rsidRDefault="00A017BA" w:rsidP="00B57856">
      <w:pPr>
        <w:spacing w:after="0"/>
        <w:jc w:val="center"/>
      </w:pPr>
      <w:r>
        <w:t>Fonte: Autoria própria</w:t>
      </w:r>
    </w:p>
    <w:p w:rsidR="0023323B" w:rsidRDefault="0023323B" w:rsidP="0023323B">
      <w:pPr>
        <w:pStyle w:val="Nvel2-PG"/>
      </w:pPr>
      <w:bookmarkStart w:id="198" w:name="_Toc488678386"/>
      <w:r>
        <w:lastRenderedPageBreak/>
        <w:t xml:space="preserve">5.5 Análise de viabilidade econômica – Caso </w:t>
      </w:r>
      <w:r w:rsidR="00A017BA">
        <w:t>S</w:t>
      </w:r>
      <w:r>
        <w:t>imples</w:t>
      </w:r>
      <w:bookmarkEnd w:id="198"/>
    </w:p>
    <w:p w:rsidR="0023323B" w:rsidRPr="0023323B" w:rsidRDefault="0023323B" w:rsidP="0023323B">
      <w:r>
        <w:t xml:space="preserve">No </w:t>
      </w:r>
      <w:r w:rsidR="00A17D9C">
        <w:t>cenário em que não há custos fixos para a implantação do sistema, as variações de mercado ao longo do tempo não foram contempladas. Portanto, a análise da viabilidade econômica se resume a compara</w:t>
      </w:r>
      <w:r w:rsidR="00950925">
        <w:t xml:space="preserve">ção entre o custo do polímero e a economia de energia obtida com o seu uso. Nesta análise, um saldo positivo é suficiente para indicar lucro, viabilizando o projeto. A </w:t>
      </w:r>
      <w:r w:rsidR="00950925">
        <w:fldChar w:fldCharType="begin"/>
      </w:r>
      <w:r w:rsidR="00950925">
        <w:instrText xml:space="preserve"> REF _Ref488333986 \h </w:instrText>
      </w:r>
      <w:r w:rsidR="00950925">
        <w:fldChar w:fldCharType="separate"/>
      </w:r>
      <w:r w:rsidR="00026000">
        <w:t xml:space="preserve">Tabela </w:t>
      </w:r>
      <w:r w:rsidR="00026000">
        <w:rPr>
          <w:noProof/>
        </w:rPr>
        <w:t>15</w:t>
      </w:r>
      <w:r w:rsidR="00950925">
        <w:fldChar w:fldCharType="end"/>
      </w:r>
      <w:r w:rsidR="00950925">
        <w:t xml:space="preserve"> traz os dados para o cálculo do lucro anual.</w:t>
      </w:r>
    </w:p>
    <w:p w:rsidR="0023323B" w:rsidRDefault="0023323B" w:rsidP="00026000">
      <w:pPr>
        <w:pStyle w:val="Tabela-PG"/>
      </w:pPr>
      <w:bookmarkStart w:id="199" w:name="_Ref488333986"/>
      <w:bookmarkStart w:id="200" w:name="_Toc488706096"/>
      <w:r>
        <w:t xml:space="preserve">Tabela </w:t>
      </w:r>
      <w:fldSimple w:instr=" SEQ Tabela \* ARABIC ">
        <w:r w:rsidR="00C91A0F">
          <w:rPr>
            <w:noProof/>
          </w:rPr>
          <w:t>15</w:t>
        </w:r>
      </w:fldSimple>
      <w:bookmarkEnd w:id="199"/>
      <w:r w:rsidR="00DB227D">
        <w:t xml:space="preserve"> - </w:t>
      </w:r>
      <w:r>
        <w:t>Lucro gerado com economia de energia para o caso simples.</w:t>
      </w:r>
      <w:bookmarkEnd w:id="200"/>
    </w:p>
    <w:tbl>
      <w:tblPr>
        <w:tblW w:w="9071" w:type="dxa"/>
        <w:tblLayout w:type="fixed"/>
        <w:tblCellMar>
          <w:left w:w="70" w:type="dxa"/>
          <w:right w:w="70" w:type="dxa"/>
        </w:tblCellMar>
        <w:tblLook w:val="04A0" w:firstRow="1" w:lastRow="0" w:firstColumn="1" w:lastColumn="0" w:noHBand="0" w:noVBand="1"/>
      </w:tblPr>
      <w:tblGrid>
        <w:gridCol w:w="5744"/>
        <w:gridCol w:w="3327"/>
      </w:tblGrid>
      <w:tr w:rsidR="0023323B" w:rsidRPr="001F0D12" w:rsidTr="00B57856">
        <w:trPr>
          <w:trHeight w:val="340"/>
        </w:trPr>
        <w:tc>
          <w:tcPr>
            <w:tcW w:w="9071" w:type="dxa"/>
            <w:gridSpan w:val="2"/>
            <w:tcBorders>
              <w:top w:val="single" w:sz="4" w:space="0" w:color="auto"/>
              <w:left w:val="nil"/>
              <w:bottom w:val="single" w:sz="4" w:space="0" w:color="auto"/>
              <w:right w:val="nil"/>
            </w:tcBorders>
            <w:shd w:val="clear" w:color="000000" w:fill="FFFFFF"/>
            <w:noWrap/>
            <w:vAlign w:val="center"/>
            <w:hideMark/>
          </w:tcPr>
          <w:p w:rsidR="0023323B" w:rsidRPr="001F0D12" w:rsidRDefault="0023323B" w:rsidP="0050114A">
            <w:pPr>
              <w:spacing w:after="0" w:line="240" w:lineRule="auto"/>
              <w:contextualSpacing w:val="0"/>
              <w:jc w:val="center"/>
              <w:rPr>
                <w:rFonts w:eastAsia="Times New Roman" w:cs="Arial"/>
                <w:b/>
                <w:bCs/>
                <w:i/>
                <w:iCs/>
                <w:color w:val="000000"/>
                <w:szCs w:val="24"/>
                <w:lang w:eastAsia="pt-BR"/>
              </w:rPr>
            </w:pPr>
            <w:r w:rsidRPr="001F0D12">
              <w:rPr>
                <w:rFonts w:eastAsia="Times New Roman" w:cs="Arial"/>
                <w:b/>
                <w:bCs/>
                <w:i/>
                <w:iCs/>
                <w:color w:val="000000"/>
                <w:szCs w:val="24"/>
                <w:lang w:eastAsia="pt-BR"/>
              </w:rPr>
              <w:t>Definição do lucro com Economia de Energia - Caso Simples</w:t>
            </w:r>
          </w:p>
        </w:tc>
      </w:tr>
      <w:tr w:rsidR="0023323B" w:rsidRPr="001F0D12" w:rsidTr="00B57856">
        <w:trPr>
          <w:trHeight w:val="340"/>
        </w:trPr>
        <w:tc>
          <w:tcPr>
            <w:tcW w:w="5744" w:type="dxa"/>
            <w:tcBorders>
              <w:top w:val="single" w:sz="4" w:space="0" w:color="auto"/>
              <w:left w:val="nil"/>
              <w:bottom w:val="single" w:sz="4" w:space="0" w:color="auto"/>
              <w:right w:val="nil"/>
            </w:tcBorders>
            <w:shd w:val="clear" w:color="000000" w:fill="FFFFFF"/>
            <w:noWrap/>
            <w:vAlign w:val="center"/>
            <w:hideMark/>
          </w:tcPr>
          <w:p w:rsidR="0023323B" w:rsidRPr="001F0D12" w:rsidRDefault="0023323B" w:rsidP="0050114A">
            <w:pPr>
              <w:spacing w:after="0" w:line="240" w:lineRule="auto"/>
              <w:contextualSpacing w:val="0"/>
              <w:jc w:val="center"/>
              <w:rPr>
                <w:rFonts w:eastAsia="Times New Roman" w:cs="Arial"/>
                <w:b/>
                <w:bCs/>
                <w:i/>
                <w:iCs/>
                <w:color w:val="000000"/>
                <w:szCs w:val="24"/>
                <w:lang w:eastAsia="pt-BR"/>
              </w:rPr>
            </w:pPr>
            <w:r w:rsidRPr="001F0D12">
              <w:rPr>
                <w:rFonts w:eastAsia="Times New Roman" w:cs="Arial"/>
                <w:b/>
                <w:bCs/>
                <w:i/>
                <w:iCs/>
                <w:color w:val="000000"/>
                <w:szCs w:val="24"/>
                <w:lang w:eastAsia="pt-BR"/>
              </w:rPr>
              <w:t>Descrição</w:t>
            </w:r>
          </w:p>
        </w:tc>
        <w:tc>
          <w:tcPr>
            <w:tcW w:w="3327" w:type="dxa"/>
            <w:tcBorders>
              <w:top w:val="single" w:sz="4" w:space="0" w:color="auto"/>
              <w:left w:val="nil"/>
              <w:bottom w:val="single" w:sz="4" w:space="0" w:color="auto"/>
              <w:right w:val="nil"/>
            </w:tcBorders>
            <w:shd w:val="clear" w:color="000000" w:fill="FFFFFF"/>
            <w:noWrap/>
            <w:vAlign w:val="center"/>
            <w:hideMark/>
          </w:tcPr>
          <w:p w:rsidR="0023323B" w:rsidRPr="001F0D12" w:rsidRDefault="0023323B" w:rsidP="0050114A">
            <w:pPr>
              <w:spacing w:after="0" w:line="240" w:lineRule="auto"/>
              <w:contextualSpacing w:val="0"/>
              <w:jc w:val="center"/>
              <w:rPr>
                <w:rFonts w:eastAsia="Times New Roman" w:cs="Arial"/>
                <w:b/>
                <w:bCs/>
                <w:i/>
                <w:iCs/>
                <w:color w:val="000000"/>
                <w:szCs w:val="24"/>
                <w:lang w:eastAsia="pt-BR"/>
              </w:rPr>
            </w:pPr>
            <w:r w:rsidRPr="001F0D12">
              <w:rPr>
                <w:rFonts w:eastAsia="Times New Roman" w:cs="Arial"/>
                <w:b/>
                <w:bCs/>
                <w:i/>
                <w:iCs/>
                <w:color w:val="000000"/>
                <w:szCs w:val="24"/>
                <w:lang w:eastAsia="pt-BR"/>
              </w:rPr>
              <w:t>Valor</w:t>
            </w:r>
          </w:p>
        </w:tc>
      </w:tr>
      <w:tr w:rsidR="0023323B" w:rsidRPr="001F0D12" w:rsidTr="00B57856">
        <w:trPr>
          <w:trHeight w:val="340"/>
        </w:trPr>
        <w:tc>
          <w:tcPr>
            <w:tcW w:w="5744" w:type="dxa"/>
            <w:tcBorders>
              <w:top w:val="single" w:sz="4" w:space="0" w:color="auto"/>
              <w:left w:val="nil"/>
              <w:bottom w:val="nil"/>
              <w:right w:val="nil"/>
            </w:tcBorders>
            <w:shd w:val="clear" w:color="000000" w:fill="FFFFFF"/>
            <w:noWrap/>
            <w:vAlign w:val="center"/>
            <w:hideMark/>
          </w:tcPr>
          <w:p w:rsidR="0023323B" w:rsidRPr="001F0D12" w:rsidRDefault="0023323B" w:rsidP="0050114A">
            <w:pPr>
              <w:spacing w:after="0" w:line="240" w:lineRule="auto"/>
              <w:contextualSpacing w:val="0"/>
              <w:jc w:val="center"/>
              <w:rPr>
                <w:rFonts w:eastAsia="Times New Roman" w:cs="Arial"/>
                <w:color w:val="000000"/>
                <w:szCs w:val="24"/>
                <w:lang w:eastAsia="pt-BR"/>
              </w:rPr>
            </w:pPr>
            <w:r w:rsidRPr="001F0D12">
              <w:rPr>
                <w:rFonts w:eastAsia="Times New Roman" w:cs="Arial"/>
                <w:color w:val="000000"/>
                <w:szCs w:val="24"/>
                <w:lang w:eastAsia="pt-BR"/>
              </w:rPr>
              <w:t>Massa de solvente (kg)</w:t>
            </w:r>
          </w:p>
        </w:tc>
        <w:tc>
          <w:tcPr>
            <w:tcW w:w="3327" w:type="dxa"/>
            <w:tcBorders>
              <w:top w:val="single" w:sz="4" w:space="0" w:color="auto"/>
              <w:left w:val="nil"/>
              <w:bottom w:val="nil"/>
              <w:right w:val="nil"/>
            </w:tcBorders>
            <w:shd w:val="clear" w:color="000000" w:fill="FFFFFF"/>
            <w:noWrap/>
            <w:vAlign w:val="center"/>
            <w:hideMark/>
          </w:tcPr>
          <w:p w:rsidR="0023323B" w:rsidRPr="001F0D12" w:rsidRDefault="0023323B" w:rsidP="0050114A">
            <w:pPr>
              <w:spacing w:after="0" w:line="240" w:lineRule="auto"/>
              <w:contextualSpacing w:val="0"/>
              <w:jc w:val="center"/>
              <w:rPr>
                <w:rFonts w:eastAsia="Times New Roman" w:cs="Arial"/>
                <w:color w:val="000000"/>
                <w:szCs w:val="24"/>
                <w:lang w:eastAsia="pt-BR"/>
              </w:rPr>
            </w:pPr>
            <w:r w:rsidRPr="001F0D12">
              <w:rPr>
                <w:rFonts w:eastAsia="Times New Roman" w:cs="Arial"/>
                <w:color w:val="000000"/>
                <w:szCs w:val="24"/>
                <w:lang w:eastAsia="pt-BR"/>
              </w:rPr>
              <w:t>150</w:t>
            </w:r>
          </w:p>
        </w:tc>
      </w:tr>
      <w:tr w:rsidR="0023323B" w:rsidRPr="001F0D12" w:rsidTr="00B57856">
        <w:trPr>
          <w:trHeight w:val="340"/>
        </w:trPr>
        <w:tc>
          <w:tcPr>
            <w:tcW w:w="5744" w:type="dxa"/>
            <w:tcBorders>
              <w:top w:val="single" w:sz="4" w:space="0" w:color="auto"/>
              <w:left w:val="nil"/>
              <w:bottom w:val="single" w:sz="4" w:space="0" w:color="auto"/>
              <w:right w:val="nil"/>
            </w:tcBorders>
            <w:shd w:val="clear" w:color="000000" w:fill="FFFFFF"/>
            <w:noWrap/>
            <w:vAlign w:val="center"/>
            <w:hideMark/>
          </w:tcPr>
          <w:p w:rsidR="0023323B" w:rsidRPr="001F0D12" w:rsidRDefault="0023323B" w:rsidP="0050114A">
            <w:pPr>
              <w:spacing w:after="0" w:line="240" w:lineRule="auto"/>
              <w:contextualSpacing w:val="0"/>
              <w:jc w:val="center"/>
              <w:rPr>
                <w:rFonts w:eastAsia="Times New Roman" w:cs="Arial"/>
                <w:color w:val="000000"/>
                <w:szCs w:val="24"/>
                <w:lang w:eastAsia="pt-BR"/>
              </w:rPr>
            </w:pPr>
            <w:r w:rsidRPr="001F0D12">
              <w:rPr>
                <w:rFonts w:eastAsia="Times New Roman" w:cs="Arial"/>
                <w:color w:val="000000"/>
                <w:szCs w:val="24"/>
                <w:lang w:eastAsia="pt-BR"/>
              </w:rPr>
              <w:t xml:space="preserve">Concentração de </w:t>
            </w:r>
            <w:r w:rsidR="007536BC">
              <w:rPr>
                <w:rFonts w:eastAsia="Times New Roman" w:cs="Arial"/>
                <w:color w:val="000000"/>
                <w:szCs w:val="24"/>
                <w:lang w:eastAsia="pt-BR"/>
              </w:rPr>
              <w:t>polímero %GG</w:t>
            </w:r>
          </w:p>
        </w:tc>
        <w:tc>
          <w:tcPr>
            <w:tcW w:w="3327" w:type="dxa"/>
            <w:tcBorders>
              <w:top w:val="single" w:sz="4" w:space="0" w:color="auto"/>
              <w:left w:val="nil"/>
              <w:bottom w:val="single" w:sz="4" w:space="0" w:color="auto"/>
              <w:right w:val="nil"/>
            </w:tcBorders>
            <w:shd w:val="clear" w:color="000000" w:fill="FFFFFF"/>
            <w:noWrap/>
            <w:vAlign w:val="center"/>
            <w:hideMark/>
          </w:tcPr>
          <w:p w:rsidR="0023323B" w:rsidRPr="001F0D12" w:rsidRDefault="0023323B" w:rsidP="0050114A">
            <w:pPr>
              <w:spacing w:after="0" w:line="240" w:lineRule="auto"/>
              <w:contextualSpacing w:val="0"/>
              <w:jc w:val="center"/>
              <w:rPr>
                <w:rFonts w:eastAsia="Times New Roman" w:cs="Arial"/>
                <w:color w:val="000000"/>
                <w:szCs w:val="24"/>
                <w:lang w:eastAsia="pt-BR"/>
              </w:rPr>
            </w:pPr>
            <w:r w:rsidRPr="001F0D12">
              <w:rPr>
                <w:rFonts w:eastAsia="Times New Roman" w:cs="Arial"/>
                <w:color w:val="000000"/>
                <w:szCs w:val="24"/>
                <w:lang w:eastAsia="pt-BR"/>
              </w:rPr>
              <w:t>0,02%</w:t>
            </w:r>
          </w:p>
        </w:tc>
      </w:tr>
      <w:tr w:rsidR="0023323B" w:rsidRPr="001F0D12" w:rsidTr="00B57856">
        <w:trPr>
          <w:trHeight w:val="340"/>
        </w:trPr>
        <w:tc>
          <w:tcPr>
            <w:tcW w:w="5744" w:type="dxa"/>
            <w:tcBorders>
              <w:top w:val="single" w:sz="4" w:space="0" w:color="auto"/>
              <w:left w:val="nil"/>
              <w:bottom w:val="single" w:sz="4" w:space="0" w:color="auto"/>
              <w:right w:val="nil"/>
            </w:tcBorders>
            <w:shd w:val="clear" w:color="000000" w:fill="FFFFFF"/>
            <w:noWrap/>
            <w:vAlign w:val="center"/>
            <w:hideMark/>
          </w:tcPr>
          <w:p w:rsidR="0023323B" w:rsidRPr="001F0D12" w:rsidRDefault="0023323B" w:rsidP="0050114A">
            <w:pPr>
              <w:spacing w:after="0" w:line="240" w:lineRule="auto"/>
              <w:contextualSpacing w:val="0"/>
              <w:jc w:val="center"/>
              <w:rPr>
                <w:rFonts w:eastAsia="Times New Roman" w:cs="Arial"/>
                <w:color w:val="000000"/>
                <w:szCs w:val="24"/>
                <w:lang w:eastAsia="pt-BR"/>
              </w:rPr>
            </w:pPr>
            <w:r w:rsidRPr="001F0D12">
              <w:rPr>
                <w:rFonts w:eastAsia="Times New Roman" w:cs="Arial"/>
                <w:color w:val="000000"/>
                <w:szCs w:val="24"/>
                <w:lang w:eastAsia="pt-BR"/>
              </w:rPr>
              <w:t>Massa de polímero por período (kg)</w:t>
            </w:r>
          </w:p>
        </w:tc>
        <w:tc>
          <w:tcPr>
            <w:tcW w:w="3327" w:type="dxa"/>
            <w:tcBorders>
              <w:top w:val="single" w:sz="4" w:space="0" w:color="auto"/>
              <w:left w:val="nil"/>
              <w:bottom w:val="single" w:sz="4" w:space="0" w:color="auto"/>
              <w:right w:val="nil"/>
            </w:tcBorders>
            <w:shd w:val="clear" w:color="000000" w:fill="FFFFFF"/>
            <w:noWrap/>
            <w:vAlign w:val="center"/>
            <w:hideMark/>
          </w:tcPr>
          <w:p w:rsidR="0023323B" w:rsidRPr="001F0D12" w:rsidRDefault="0023323B" w:rsidP="0050114A">
            <w:pPr>
              <w:spacing w:after="0" w:line="240" w:lineRule="auto"/>
              <w:contextualSpacing w:val="0"/>
              <w:jc w:val="center"/>
              <w:rPr>
                <w:rFonts w:eastAsia="Times New Roman" w:cs="Arial"/>
                <w:color w:val="000000"/>
                <w:szCs w:val="24"/>
                <w:lang w:eastAsia="pt-BR"/>
              </w:rPr>
            </w:pPr>
            <w:r w:rsidRPr="001F0D12">
              <w:rPr>
                <w:rFonts w:eastAsia="Times New Roman" w:cs="Arial"/>
                <w:color w:val="000000"/>
                <w:szCs w:val="24"/>
                <w:lang w:eastAsia="pt-BR"/>
              </w:rPr>
              <w:t>0,03</w:t>
            </w:r>
          </w:p>
        </w:tc>
      </w:tr>
      <w:tr w:rsidR="0023323B" w:rsidRPr="001F0D12" w:rsidTr="00B57856">
        <w:trPr>
          <w:trHeight w:val="340"/>
        </w:trPr>
        <w:tc>
          <w:tcPr>
            <w:tcW w:w="5744" w:type="dxa"/>
            <w:tcBorders>
              <w:top w:val="single" w:sz="4" w:space="0" w:color="auto"/>
              <w:left w:val="nil"/>
              <w:bottom w:val="single" w:sz="4" w:space="0" w:color="auto"/>
              <w:right w:val="nil"/>
            </w:tcBorders>
            <w:shd w:val="clear" w:color="000000" w:fill="FFFFFF"/>
            <w:noWrap/>
            <w:vAlign w:val="center"/>
            <w:hideMark/>
          </w:tcPr>
          <w:p w:rsidR="0023323B" w:rsidRPr="001F0D12" w:rsidRDefault="0023323B" w:rsidP="0050114A">
            <w:pPr>
              <w:spacing w:after="0" w:line="240" w:lineRule="auto"/>
              <w:contextualSpacing w:val="0"/>
              <w:jc w:val="center"/>
              <w:rPr>
                <w:rFonts w:eastAsia="Times New Roman" w:cs="Arial"/>
                <w:color w:val="000000"/>
                <w:szCs w:val="24"/>
                <w:lang w:eastAsia="pt-BR"/>
              </w:rPr>
            </w:pPr>
            <w:r w:rsidRPr="001F0D12">
              <w:rPr>
                <w:rFonts w:eastAsia="Times New Roman" w:cs="Arial"/>
                <w:color w:val="000000"/>
                <w:szCs w:val="24"/>
                <w:lang w:eastAsia="pt-BR"/>
              </w:rPr>
              <w:t>Número de períodos por ano</w:t>
            </w:r>
          </w:p>
        </w:tc>
        <w:tc>
          <w:tcPr>
            <w:tcW w:w="3327" w:type="dxa"/>
            <w:tcBorders>
              <w:top w:val="single" w:sz="4" w:space="0" w:color="auto"/>
              <w:left w:val="nil"/>
              <w:bottom w:val="single" w:sz="4" w:space="0" w:color="auto"/>
              <w:right w:val="nil"/>
            </w:tcBorders>
            <w:shd w:val="clear" w:color="000000" w:fill="FFFFFF"/>
            <w:noWrap/>
            <w:vAlign w:val="center"/>
            <w:hideMark/>
          </w:tcPr>
          <w:p w:rsidR="0023323B" w:rsidRPr="001F0D12" w:rsidRDefault="0023323B" w:rsidP="0050114A">
            <w:pPr>
              <w:spacing w:after="0" w:line="240" w:lineRule="auto"/>
              <w:contextualSpacing w:val="0"/>
              <w:jc w:val="center"/>
              <w:rPr>
                <w:rFonts w:eastAsia="Times New Roman" w:cs="Arial"/>
                <w:color w:val="000000"/>
                <w:szCs w:val="24"/>
                <w:lang w:eastAsia="pt-BR"/>
              </w:rPr>
            </w:pPr>
            <w:r w:rsidRPr="001F0D12">
              <w:rPr>
                <w:rFonts w:eastAsia="Times New Roman" w:cs="Arial"/>
                <w:color w:val="000000"/>
                <w:szCs w:val="24"/>
                <w:lang w:eastAsia="pt-BR"/>
              </w:rPr>
              <w:t>243</w:t>
            </w:r>
          </w:p>
        </w:tc>
      </w:tr>
      <w:tr w:rsidR="0023323B" w:rsidRPr="001F0D12" w:rsidTr="00B57856">
        <w:trPr>
          <w:trHeight w:val="340"/>
        </w:trPr>
        <w:tc>
          <w:tcPr>
            <w:tcW w:w="5744" w:type="dxa"/>
            <w:tcBorders>
              <w:top w:val="single" w:sz="4" w:space="0" w:color="auto"/>
              <w:left w:val="nil"/>
              <w:bottom w:val="single" w:sz="4" w:space="0" w:color="auto"/>
              <w:right w:val="nil"/>
            </w:tcBorders>
            <w:shd w:val="clear" w:color="000000" w:fill="FFFFFF"/>
            <w:noWrap/>
            <w:vAlign w:val="center"/>
            <w:hideMark/>
          </w:tcPr>
          <w:p w:rsidR="0023323B" w:rsidRPr="001F0D12" w:rsidRDefault="0023323B" w:rsidP="0050114A">
            <w:pPr>
              <w:spacing w:after="0" w:line="240" w:lineRule="auto"/>
              <w:contextualSpacing w:val="0"/>
              <w:jc w:val="center"/>
              <w:rPr>
                <w:rFonts w:eastAsia="Times New Roman" w:cs="Arial"/>
                <w:color w:val="000000"/>
                <w:szCs w:val="24"/>
                <w:lang w:eastAsia="pt-BR"/>
              </w:rPr>
            </w:pPr>
            <w:r w:rsidRPr="001F0D12">
              <w:rPr>
                <w:rFonts w:eastAsia="Times New Roman" w:cs="Arial"/>
                <w:color w:val="000000"/>
                <w:szCs w:val="24"/>
                <w:lang w:eastAsia="pt-BR"/>
              </w:rPr>
              <w:t>Preço do polímero (R$/kg)</w:t>
            </w:r>
          </w:p>
        </w:tc>
        <w:tc>
          <w:tcPr>
            <w:tcW w:w="3327" w:type="dxa"/>
            <w:tcBorders>
              <w:top w:val="single" w:sz="4" w:space="0" w:color="auto"/>
              <w:left w:val="nil"/>
              <w:bottom w:val="single" w:sz="4" w:space="0" w:color="auto"/>
              <w:right w:val="nil"/>
            </w:tcBorders>
            <w:shd w:val="clear" w:color="000000" w:fill="FFFFFF"/>
            <w:noWrap/>
            <w:vAlign w:val="center"/>
            <w:hideMark/>
          </w:tcPr>
          <w:p w:rsidR="0023323B" w:rsidRPr="001F0D12" w:rsidRDefault="0023323B" w:rsidP="0023323B">
            <w:pPr>
              <w:spacing w:after="0" w:line="240" w:lineRule="auto"/>
              <w:contextualSpacing w:val="0"/>
              <w:jc w:val="center"/>
              <w:rPr>
                <w:rFonts w:eastAsia="Times New Roman" w:cs="Arial"/>
                <w:color w:val="000000"/>
                <w:szCs w:val="24"/>
                <w:lang w:eastAsia="pt-BR"/>
              </w:rPr>
            </w:pPr>
            <w:r w:rsidRPr="001F0D12">
              <w:rPr>
                <w:rFonts w:eastAsia="Times New Roman" w:cs="Arial"/>
                <w:color w:val="000000"/>
                <w:szCs w:val="24"/>
                <w:lang w:eastAsia="pt-BR"/>
              </w:rPr>
              <w:t xml:space="preserve"> R$</w:t>
            </w:r>
            <w:r>
              <w:rPr>
                <w:rFonts w:eastAsia="Times New Roman" w:cs="Arial"/>
                <w:color w:val="000000"/>
                <w:szCs w:val="24"/>
                <w:lang w:eastAsia="pt-BR"/>
              </w:rPr>
              <w:t xml:space="preserve"> </w:t>
            </w:r>
            <w:r w:rsidRPr="001F0D12">
              <w:rPr>
                <w:rFonts w:eastAsia="Times New Roman" w:cs="Arial"/>
                <w:color w:val="000000"/>
                <w:szCs w:val="24"/>
                <w:lang w:eastAsia="pt-BR"/>
              </w:rPr>
              <w:t xml:space="preserve">     17,13 </w:t>
            </w:r>
          </w:p>
        </w:tc>
      </w:tr>
      <w:tr w:rsidR="0023323B" w:rsidRPr="001F0D12" w:rsidTr="00B57856">
        <w:trPr>
          <w:trHeight w:val="340"/>
        </w:trPr>
        <w:tc>
          <w:tcPr>
            <w:tcW w:w="5744" w:type="dxa"/>
            <w:tcBorders>
              <w:top w:val="single" w:sz="4" w:space="0" w:color="auto"/>
              <w:left w:val="nil"/>
              <w:bottom w:val="single" w:sz="4" w:space="0" w:color="auto"/>
              <w:right w:val="nil"/>
            </w:tcBorders>
            <w:shd w:val="clear" w:color="000000" w:fill="FFFFFF"/>
            <w:noWrap/>
            <w:vAlign w:val="center"/>
            <w:hideMark/>
          </w:tcPr>
          <w:p w:rsidR="0023323B" w:rsidRPr="001F0D12" w:rsidRDefault="0023323B" w:rsidP="0050114A">
            <w:pPr>
              <w:spacing w:after="0" w:line="240" w:lineRule="auto"/>
              <w:contextualSpacing w:val="0"/>
              <w:jc w:val="center"/>
              <w:rPr>
                <w:rFonts w:eastAsia="Times New Roman" w:cs="Arial"/>
                <w:color w:val="000000"/>
                <w:szCs w:val="24"/>
                <w:lang w:eastAsia="pt-BR"/>
              </w:rPr>
            </w:pPr>
            <w:r w:rsidRPr="001F0D12">
              <w:rPr>
                <w:rFonts w:eastAsia="Times New Roman" w:cs="Arial"/>
                <w:color w:val="000000"/>
                <w:szCs w:val="24"/>
                <w:lang w:eastAsia="pt-BR"/>
              </w:rPr>
              <w:t>Economia de energia anual</w:t>
            </w:r>
          </w:p>
        </w:tc>
        <w:tc>
          <w:tcPr>
            <w:tcW w:w="3327" w:type="dxa"/>
            <w:tcBorders>
              <w:top w:val="single" w:sz="4" w:space="0" w:color="auto"/>
              <w:left w:val="nil"/>
              <w:bottom w:val="single" w:sz="4" w:space="0" w:color="auto"/>
              <w:right w:val="nil"/>
            </w:tcBorders>
            <w:shd w:val="clear" w:color="000000" w:fill="FFFFFF"/>
            <w:noWrap/>
            <w:vAlign w:val="center"/>
            <w:hideMark/>
          </w:tcPr>
          <w:p w:rsidR="0023323B" w:rsidRPr="001F0D12" w:rsidRDefault="0023323B" w:rsidP="0023323B">
            <w:pPr>
              <w:spacing w:after="0" w:line="240" w:lineRule="auto"/>
              <w:contextualSpacing w:val="0"/>
              <w:jc w:val="center"/>
              <w:rPr>
                <w:rFonts w:eastAsia="Times New Roman" w:cs="Arial"/>
                <w:color w:val="000000"/>
                <w:szCs w:val="24"/>
                <w:lang w:eastAsia="pt-BR"/>
              </w:rPr>
            </w:pPr>
            <w:r w:rsidRPr="001F0D12">
              <w:rPr>
                <w:rFonts w:eastAsia="Times New Roman" w:cs="Arial"/>
                <w:color w:val="000000"/>
                <w:szCs w:val="24"/>
                <w:lang w:eastAsia="pt-BR"/>
              </w:rPr>
              <w:t xml:space="preserve"> R$ 2.938,59 </w:t>
            </w:r>
          </w:p>
        </w:tc>
      </w:tr>
      <w:tr w:rsidR="0023323B" w:rsidRPr="001F0D12" w:rsidTr="00B57856">
        <w:trPr>
          <w:trHeight w:val="340"/>
        </w:trPr>
        <w:tc>
          <w:tcPr>
            <w:tcW w:w="5744" w:type="dxa"/>
            <w:tcBorders>
              <w:top w:val="single" w:sz="4" w:space="0" w:color="auto"/>
              <w:left w:val="nil"/>
              <w:bottom w:val="single" w:sz="4" w:space="0" w:color="auto"/>
              <w:right w:val="nil"/>
            </w:tcBorders>
            <w:shd w:val="clear" w:color="000000" w:fill="FFFFFF"/>
            <w:noWrap/>
            <w:vAlign w:val="center"/>
            <w:hideMark/>
          </w:tcPr>
          <w:p w:rsidR="0023323B" w:rsidRPr="001F0D12" w:rsidRDefault="0023323B" w:rsidP="0050114A">
            <w:pPr>
              <w:spacing w:after="0" w:line="240" w:lineRule="auto"/>
              <w:contextualSpacing w:val="0"/>
              <w:jc w:val="center"/>
              <w:rPr>
                <w:rFonts w:eastAsia="Times New Roman" w:cs="Arial"/>
                <w:color w:val="000000"/>
                <w:szCs w:val="24"/>
                <w:lang w:eastAsia="pt-BR"/>
              </w:rPr>
            </w:pPr>
            <w:r w:rsidRPr="001F0D12">
              <w:rPr>
                <w:rFonts w:eastAsia="Times New Roman" w:cs="Arial"/>
                <w:color w:val="000000"/>
                <w:szCs w:val="24"/>
                <w:lang w:eastAsia="pt-BR"/>
              </w:rPr>
              <w:t>Custo anual com polímero</w:t>
            </w:r>
          </w:p>
        </w:tc>
        <w:tc>
          <w:tcPr>
            <w:tcW w:w="3327" w:type="dxa"/>
            <w:tcBorders>
              <w:top w:val="single" w:sz="4" w:space="0" w:color="auto"/>
              <w:left w:val="nil"/>
              <w:bottom w:val="single" w:sz="4" w:space="0" w:color="auto"/>
              <w:right w:val="nil"/>
            </w:tcBorders>
            <w:shd w:val="clear" w:color="000000" w:fill="FFFFFF"/>
            <w:noWrap/>
            <w:vAlign w:val="center"/>
            <w:hideMark/>
          </w:tcPr>
          <w:p w:rsidR="0023323B" w:rsidRPr="001F0D12" w:rsidRDefault="0023323B" w:rsidP="0023323B">
            <w:pPr>
              <w:spacing w:after="0" w:line="240" w:lineRule="auto"/>
              <w:contextualSpacing w:val="0"/>
              <w:jc w:val="center"/>
              <w:rPr>
                <w:rFonts w:eastAsia="Times New Roman" w:cs="Arial"/>
                <w:color w:val="000000"/>
                <w:szCs w:val="24"/>
                <w:lang w:eastAsia="pt-BR"/>
              </w:rPr>
            </w:pPr>
            <w:r>
              <w:rPr>
                <w:rFonts w:eastAsia="Times New Roman" w:cs="Arial"/>
                <w:color w:val="000000"/>
                <w:szCs w:val="24"/>
                <w:lang w:eastAsia="pt-BR"/>
              </w:rPr>
              <w:t xml:space="preserve"> R$    </w:t>
            </w:r>
            <w:r w:rsidRPr="001F0D12">
              <w:rPr>
                <w:rFonts w:eastAsia="Times New Roman" w:cs="Arial"/>
                <w:color w:val="000000"/>
                <w:szCs w:val="24"/>
                <w:lang w:eastAsia="pt-BR"/>
              </w:rPr>
              <w:t xml:space="preserve">124,84 </w:t>
            </w:r>
          </w:p>
        </w:tc>
      </w:tr>
      <w:tr w:rsidR="0023323B" w:rsidRPr="001F0D12" w:rsidTr="00B57856">
        <w:trPr>
          <w:trHeight w:val="340"/>
        </w:trPr>
        <w:tc>
          <w:tcPr>
            <w:tcW w:w="5744" w:type="dxa"/>
            <w:tcBorders>
              <w:top w:val="single" w:sz="4" w:space="0" w:color="auto"/>
              <w:left w:val="nil"/>
              <w:bottom w:val="single" w:sz="4" w:space="0" w:color="auto"/>
              <w:right w:val="nil"/>
            </w:tcBorders>
            <w:shd w:val="clear" w:color="000000" w:fill="FFFFFF"/>
            <w:noWrap/>
            <w:vAlign w:val="center"/>
            <w:hideMark/>
          </w:tcPr>
          <w:p w:rsidR="0023323B" w:rsidRPr="001F0D12" w:rsidRDefault="0023323B" w:rsidP="0023323B">
            <w:pPr>
              <w:spacing w:after="0" w:line="240" w:lineRule="auto"/>
              <w:contextualSpacing w:val="0"/>
              <w:jc w:val="center"/>
              <w:rPr>
                <w:rFonts w:eastAsia="Times New Roman" w:cs="Arial"/>
                <w:b/>
                <w:color w:val="000000"/>
                <w:szCs w:val="24"/>
                <w:lang w:eastAsia="pt-BR"/>
              </w:rPr>
            </w:pPr>
            <w:r>
              <w:rPr>
                <w:rFonts w:eastAsia="Times New Roman" w:cs="Arial"/>
                <w:b/>
                <w:color w:val="000000"/>
                <w:szCs w:val="24"/>
                <w:lang w:eastAsia="pt-BR"/>
              </w:rPr>
              <w:t>Lucro anual</w:t>
            </w:r>
          </w:p>
        </w:tc>
        <w:tc>
          <w:tcPr>
            <w:tcW w:w="3327" w:type="dxa"/>
            <w:tcBorders>
              <w:top w:val="single" w:sz="4" w:space="0" w:color="auto"/>
              <w:left w:val="nil"/>
              <w:bottom w:val="single" w:sz="4" w:space="0" w:color="auto"/>
              <w:right w:val="nil"/>
            </w:tcBorders>
            <w:shd w:val="clear" w:color="000000" w:fill="FFFFFF"/>
            <w:noWrap/>
            <w:vAlign w:val="center"/>
            <w:hideMark/>
          </w:tcPr>
          <w:p w:rsidR="0023323B" w:rsidRPr="001F0D12" w:rsidRDefault="0023323B" w:rsidP="0023323B">
            <w:pPr>
              <w:spacing w:after="0" w:line="240" w:lineRule="auto"/>
              <w:contextualSpacing w:val="0"/>
              <w:jc w:val="center"/>
              <w:rPr>
                <w:rFonts w:eastAsia="Times New Roman" w:cs="Arial"/>
                <w:b/>
                <w:color w:val="000000"/>
                <w:szCs w:val="24"/>
                <w:lang w:eastAsia="pt-BR"/>
              </w:rPr>
            </w:pPr>
            <w:r w:rsidRPr="001F0D12">
              <w:rPr>
                <w:rFonts w:eastAsia="Times New Roman" w:cs="Arial"/>
                <w:b/>
                <w:color w:val="000000"/>
                <w:szCs w:val="24"/>
                <w:lang w:eastAsia="pt-BR"/>
              </w:rPr>
              <w:t xml:space="preserve"> R</w:t>
            </w:r>
            <w:r w:rsidRPr="0023323B">
              <w:rPr>
                <w:rFonts w:eastAsia="Times New Roman" w:cs="Arial"/>
                <w:b/>
                <w:color w:val="000000"/>
                <w:szCs w:val="24"/>
                <w:lang w:eastAsia="pt-BR"/>
              </w:rPr>
              <w:t>$</w:t>
            </w:r>
            <w:r w:rsidRPr="001F0D12">
              <w:rPr>
                <w:rFonts w:eastAsia="Times New Roman" w:cs="Arial"/>
                <w:b/>
                <w:color w:val="000000"/>
                <w:szCs w:val="24"/>
                <w:lang w:eastAsia="pt-BR"/>
              </w:rPr>
              <w:t xml:space="preserve"> 2.813,75 </w:t>
            </w:r>
          </w:p>
        </w:tc>
      </w:tr>
    </w:tbl>
    <w:p w:rsidR="00A017BA" w:rsidRDefault="00A017BA" w:rsidP="00A017BA">
      <w:pPr>
        <w:jc w:val="center"/>
      </w:pPr>
      <w:r>
        <w:t>Fonte: Autoria própria</w:t>
      </w:r>
    </w:p>
    <w:p w:rsidR="0023323B" w:rsidRDefault="0023323B" w:rsidP="00A017BA"/>
    <w:p w:rsidR="002435D4" w:rsidRDefault="002435D4" w:rsidP="002435D4">
      <w:pPr>
        <w:pStyle w:val="Nvel2-PG"/>
      </w:pPr>
      <w:bookmarkStart w:id="201" w:name="_Toc488678387"/>
      <w:r>
        <w:t>5.6 Análise de viabilidade econômica – Caso Completo</w:t>
      </w:r>
      <w:bookmarkEnd w:id="201"/>
    </w:p>
    <w:p w:rsidR="00A017BA" w:rsidRDefault="00865455" w:rsidP="00FE037F">
      <w:r>
        <w:t xml:space="preserve">A partir dos valores estimados </w:t>
      </w:r>
      <w:r w:rsidR="00447731">
        <w:t xml:space="preserve">nas seções anteriores, foram simulados os cenários </w:t>
      </w:r>
      <w:r w:rsidR="0056133D">
        <w:t xml:space="preserve">contidos na </w:t>
      </w:r>
      <w:r w:rsidR="0056133D">
        <w:fldChar w:fldCharType="begin"/>
      </w:r>
      <w:r w:rsidR="0056133D">
        <w:instrText xml:space="preserve"> REF _Ref488284923 \h </w:instrText>
      </w:r>
      <w:r w:rsidR="00A017BA">
        <w:instrText xml:space="preserve"> \* MERGEFORMAT </w:instrText>
      </w:r>
      <w:r w:rsidR="0056133D">
        <w:fldChar w:fldCharType="separate"/>
      </w:r>
      <w:r w:rsidR="00026000">
        <w:t xml:space="preserve">Tabela </w:t>
      </w:r>
      <w:r w:rsidR="00026000">
        <w:rPr>
          <w:noProof/>
        </w:rPr>
        <w:t>14</w:t>
      </w:r>
      <w:r w:rsidR="0056133D">
        <w:fldChar w:fldCharType="end"/>
      </w:r>
      <w:r w:rsidR="007317B0">
        <w:t xml:space="preserve">. </w:t>
      </w:r>
      <w:r w:rsidR="008328EC">
        <w:t xml:space="preserve"> As Tabelas 1</w:t>
      </w:r>
      <w:r w:rsidR="00026000">
        <w:t>6 e 17</w:t>
      </w:r>
      <w:r w:rsidR="008328EC">
        <w:t xml:space="preserve"> trazem </w:t>
      </w:r>
      <w:r w:rsidR="00A85092">
        <w:t xml:space="preserve">apenas </w:t>
      </w:r>
      <w:r w:rsidR="008328EC">
        <w:t xml:space="preserve">os cálculos e resultados das análises do cenário padrão e do cenário exigente, que trazem as condições mais desafiadoras para a viabilidade </w:t>
      </w:r>
      <w:r w:rsidR="006B3ECB">
        <w:t xml:space="preserve">econômica </w:t>
      </w:r>
      <w:r w:rsidR="00A85092">
        <w:t>do sistema. Entende-se que, se viável no cenário mais rigoroso, o projeto é viável</w:t>
      </w:r>
      <w:r w:rsidR="00A72F4C">
        <w:t xml:space="preserve"> em qualquer cenário proposto.</w:t>
      </w:r>
    </w:p>
    <w:p w:rsidR="00A017BA" w:rsidRDefault="00A017BA" w:rsidP="00026000">
      <w:pPr>
        <w:pStyle w:val="Tabela-PG"/>
      </w:pPr>
    </w:p>
    <w:p w:rsidR="00B57856" w:rsidRDefault="00B57856" w:rsidP="00026000">
      <w:pPr>
        <w:pStyle w:val="Tabela-PG"/>
      </w:pPr>
    </w:p>
    <w:p w:rsidR="00B57856" w:rsidRDefault="00B57856" w:rsidP="00026000">
      <w:pPr>
        <w:pStyle w:val="Tabela-PG"/>
      </w:pPr>
    </w:p>
    <w:p w:rsidR="001302F7" w:rsidRDefault="001302F7" w:rsidP="00026000">
      <w:pPr>
        <w:pStyle w:val="Tabela-PG"/>
      </w:pPr>
    </w:p>
    <w:p w:rsidR="001302F7" w:rsidRDefault="001302F7" w:rsidP="00026000">
      <w:pPr>
        <w:pStyle w:val="Tabela-PG"/>
      </w:pPr>
    </w:p>
    <w:p w:rsidR="001302F7" w:rsidRDefault="001302F7" w:rsidP="00026000">
      <w:pPr>
        <w:pStyle w:val="Tabela-PG"/>
      </w:pPr>
    </w:p>
    <w:p w:rsidR="001302F7" w:rsidRDefault="001302F7" w:rsidP="00026000">
      <w:pPr>
        <w:pStyle w:val="Tabela-PG"/>
      </w:pPr>
    </w:p>
    <w:p w:rsidR="001302F7" w:rsidRDefault="001302F7" w:rsidP="00026000">
      <w:pPr>
        <w:pStyle w:val="Tabela-PG"/>
      </w:pPr>
    </w:p>
    <w:p w:rsidR="00B57856" w:rsidRDefault="00B57856" w:rsidP="00026000">
      <w:pPr>
        <w:pStyle w:val="Tabela-PG"/>
      </w:pPr>
    </w:p>
    <w:p w:rsidR="00B57856" w:rsidRDefault="00B57856" w:rsidP="00026000">
      <w:pPr>
        <w:pStyle w:val="Tabela-PG"/>
      </w:pPr>
    </w:p>
    <w:p w:rsidR="006B3ECB" w:rsidRDefault="006B3ECB" w:rsidP="00026000">
      <w:pPr>
        <w:pStyle w:val="Tabela-PG"/>
      </w:pPr>
      <w:bookmarkStart w:id="202" w:name="_Toc488706097"/>
      <w:r>
        <w:lastRenderedPageBreak/>
        <w:t xml:space="preserve">Tabela </w:t>
      </w:r>
      <w:fldSimple w:instr=" SEQ Tabela \* ARABIC ">
        <w:r w:rsidR="00C91A0F">
          <w:rPr>
            <w:noProof/>
          </w:rPr>
          <w:t>16</w:t>
        </w:r>
      </w:fldSimple>
      <w:r w:rsidR="00DB227D">
        <w:t xml:space="preserve"> - </w:t>
      </w:r>
      <w:r>
        <w:t>Fluxo de caixa e resultados de VPL, TIR e payback no cenário padrão para o caso completo.</w:t>
      </w:r>
      <w:bookmarkEnd w:id="202"/>
    </w:p>
    <w:tbl>
      <w:tblPr>
        <w:tblW w:w="9332" w:type="dxa"/>
        <w:tblCellMar>
          <w:left w:w="70" w:type="dxa"/>
          <w:right w:w="70" w:type="dxa"/>
        </w:tblCellMar>
        <w:tblLook w:val="04A0" w:firstRow="1" w:lastRow="0" w:firstColumn="1" w:lastColumn="0" w:noHBand="0" w:noVBand="1"/>
      </w:tblPr>
      <w:tblGrid>
        <w:gridCol w:w="529"/>
        <w:gridCol w:w="1096"/>
        <w:gridCol w:w="453"/>
        <w:gridCol w:w="721"/>
        <w:gridCol w:w="877"/>
        <w:gridCol w:w="430"/>
        <w:gridCol w:w="1168"/>
        <w:gridCol w:w="1291"/>
        <w:gridCol w:w="1373"/>
        <w:gridCol w:w="1394"/>
      </w:tblGrid>
      <w:tr w:rsidR="00BD1632" w:rsidRPr="00BD1632" w:rsidTr="00BD1632">
        <w:trPr>
          <w:trHeight w:val="300"/>
        </w:trPr>
        <w:tc>
          <w:tcPr>
            <w:tcW w:w="1625" w:type="dxa"/>
            <w:gridSpan w:val="2"/>
            <w:tcBorders>
              <w:top w:val="single" w:sz="4" w:space="0" w:color="auto"/>
              <w:left w:val="nil"/>
              <w:bottom w:val="single" w:sz="4" w:space="0" w:color="auto"/>
              <w:right w:val="nil"/>
            </w:tcBorders>
            <w:shd w:val="clear" w:color="000000" w:fill="000000"/>
            <w:vAlign w:val="bottom"/>
            <w:hideMark/>
          </w:tcPr>
          <w:p w:rsidR="008328EC" w:rsidRPr="008328EC" w:rsidRDefault="008328EC" w:rsidP="0033264A">
            <w:pPr>
              <w:spacing w:after="0" w:line="240" w:lineRule="auto"/>
              <w:contextualSpacing w:val="0"/>
              <w:jc w:val="center"/>
              <w:rPr>
                <w:rFonts w:eastAsia="Times New Roman" w:cs="Arial"/>
                <w:b/>
                <w:bCs/>
                <w:i/>
                <w:iCs/>
                <w:color w:val="FFFFFF" w:themeColor="background1"/>
                <w:sz w:val="20"/>
                <w:szCs w:val="24"/>
                <w:lang w:eastAsia="pt-BR"/>
              </w:rPr>
            </w:pPr>
            <w:r w:rsidRPr="008328EC">
              <w:rPr>
                <w:rFonts w:eastAsia="Times New Roman" w:cs="Arial"/>
                <w:b/>
                <w:bCs/>
                <w:i/>
                <w:iCs/>
                <w:color w:val="FFFFFF" w:themeColor="background1"/>
                <w:sz w:val="20"/>
                <w:szCs w:val="24"/>
                <w:lang w:eastAsia="pt-BR"/>
              </w:rPr>
              <w:t>CENRÁRIO PADRÃO</w:t>
            </w:r>
          </w:p>
        </w:tc>
        <w:tc>
          <w:tcPr>
            <w:tcW w:w="1174" w:type="dxa"/>
            <w:gridSpan w:val="2"/>
            <w:tcBorders>
              <w:top w:val="single" w:sz="4" w:space="0" w:color="auto"/>
              <w:left w:val="nil"/>
              <w:bottom w:val="single" w:sz="4" w:space="0" w:color="auto"/>
              <w:right w:val="nil"/>
            </w:tcBorders>
            <w:shd w:val="clear" w:color="000000" w:fill="000000"/>
            <w:noWrap/>
            <w:vAlign w:val="center"/>
            <w:hideMark/>
          </w:tcPr>
          <w:p w:rsidR="008328EC" w:rsidRPr="008328EC" w:rsidRDefault="008328EC" w:rsidP="0033264A">
            <w:pPr>
              <w:spacing w:after="0" w:line="240" w:lineRule="auto"/>
              <w:contextualSpacing w:val="0"/>
              <w:jc w:val="center"/>
              <w:rPr>
                <w:rFonts w:eastAsia="Times New Roman" w:cs="Arial"/>
                <w:b/>
                <w:bCs/>
                <w:i/>
                <w:iCs/>
                <w:color w:val="FFFFFF" w:themeColor="background1"/>
                <w:sz w:val="20"/>
                <w:szCs w:val="24"/>
                <w:lang w:eastAsia="pt-BR"/>
              </w:rPr>
            </w:pPr>
            <w:r w:rsidRPr="008328EC">
              <w:rPr>
                <w:rFonts w:eastAsia="Times New Roman" w:cs="Arial"/>
                <w:b/>
                <w:bCs/>
                <w:i/>
                <w:iCs/>
                <w:color w:val="FFFFFF" w:themeColor="background1"/>
                <w:sz w:val="20"/>
                <w:szCs w:val="24"/>
                <w:lang w:eastAsia="pt-BR"/>
              </w:rPr>
              <w:t>INFLAÇÃO</w:t>
            </w:r>
          </w:p>
        </w:tc>
        <w:tc>
          <w:tcPr>
            <w:tcW w:w="1307" w:type="dxa"/>
            <w:gridSpan w:val="2"/>
            <w:tcBorders>
              <w:top w:val="single" w:sz="4" w:space="0" w:color="auto"/>
              <w:left w:val="nil"/>
              <w:bottom w:val="single" w:sz="4" w:space="0" w:color="auto"/>
              <w:right w:val="nil"/>
            </w:tcBorders>
            <w:shd w:val="clear" w:color="000000" w:fill="000000"/>
            <w:noWrap/>
            <w:vAlign w:val="center"/>
            <w:hideMark/>
          </w:tcPr>
          <w:p w:rsidR="008328EC" w:rsidRPr="008328EC" w:rsidRDefault="008328EC" w:rsidP="0033264A">
            <w:pPr>
              <w:spacing w:after="0" w:line="240" w:lineRule="auto"/>
              <w:contextualSpacing w:val="0"/>
              <w:jc w:val="center"/>
              <w:rPr>
                <w:rFonts w:eastAsia="Times New Roman" w:cs="Arial"/>
                <w:b/>
                <w:bCs/>
                <w:i/>
                <w:iCs/>
                <w:color w:val="FFFFFF" w:themeColor="background1"/>
                <w:sz w:val="20"/>
                <w:szCs w:val="24"/>
                <w:lang w:eastAsia="pt-BR"/>
              </w:rPr>
            </w:pPr>
            <w:r w:rsidRPr="008328EC">
              <w:rPr>
                <w:rFonts w:eastAsia="Times New Roman" w:cs="Arial"/>
                <w:b/>
                <w:bCs/>
                <w:i/>
                <w:iCs/>
                <w:color w:val="FFFFFF" w:themeColor="background1"/>
                <w:sz w:val="20"/>
                <w:szCs w:val="24"/>
                <w:lang w:eastAsia="pt-BR"/>
              </w:rPr>
              <w:t>5,25%</w:t>
            </w:r>
          </w:p>
        </w:tc>
        <w:tc>
          <w:tcPr>
            <w:tcW w:w="1168" w:type="dxa"/>
            <w:tcBorders>
              <w:top w:val="single" w:sz="4" w:space="0" w:color="auto"/>
              <w:left w:val="nil"/>
              <w:bottom w:val="single" w:sz="4" w:space="0" w:color="auto"/>
              <w:right w:val="nil"/>
            </w:tcBorders>
            <w:shd w:val="clear" w:color="000000" w:fill="000000"/>
            <w:noWrap/>
            <w:vAlign w:val="center"/>
            <w:hideMark/>
          </w:tcPr>
          <w:p w:rsidR="008328EC" w:rsidRPr="008328EC" w:rsidRDefault="008328EC" w:rsidP="0033264A">
            <w:pPr>
              <w:spacing w:after="0" w:line="240" w:lineRule="auto"/>
              <w:contextualSpacing w:val="0"/>
              <w:jc w:val="center"/>
              <w:rPr>
                <w:rFonts w:eastAsia="Times New Roman" w:cs="Arial"/>
                <w:b/>
                <w:bCs/>
                <w:i/>
                <w:iCs/>
                <w:color w:val="FFFFFF" w:themeColor="background1"/>
                <w:sz w:val="20"/>
                <w:szCs w:val="24"/>
                <w:lang w:eastAsia="pt-BR"/>
              </w:rPr>
            </w:pPr>
            <w:r w:rsidRPr="008328EC">
              <w:rPr>
                <w:rFonts w:eastAsia="Times New Roman" w:cs="Arial"/>
                <w:b/>
                <w:bCs/>
                <w:i/>
                <w:iCs/>
                <w:color w:val="FFFFFF" w:themeColor="background1"/>
                <w:sz w:val="20"/>
                <w:szCs w:val="24"/>
                <w:lang w:eastAsia="pt-BR"/>
              </w:rPr>
              <w:t>TX</w:t>
            </w:r>
            <w:r w:rsidR="0033264A" w:rsidRPr="00BD1632">
              <w:rPr>
                <w:rFonts w:eastAsia="Times New Roman" w:cs="Arial"/>
                <w:b/>
                <w:bCs/>
                <w:i/>
                <w:iCs/>
                <w:color w:val="FFFFFF" w:themeColor="background1"/>
                <w:sz w:val="20"/>
                <w:szCs w:val="24"/>
                <w:lang w:eastAsia="pt-BR"/>
              </w:rPr>
              <w:t xml:space="preserve"> DESC.</w:t>
            </w:r>
          </w:p>
        </w:tc>
        <w:tc>
          <w:tcPr>
            <w:tcW w:w="1291" w:type="dxa"/>
            <w:tcBorders>
              <w:top w:val="single" w:sz="4" w:space="0" w:color="auto"/>
              <w:left w:val="nil"/>
              <w:bottom w:val="single" w:sz="4" w:space="0" w:color="auto"/>
              <w:right w:val="nil"/>
            </w:tcBorders>
            <w:shd w:val="clear" w:color="000000" w:fill="000000"/>
            <w:noWrap/>
            <w:vAlign w:val="center"/>
            <w:hideMark/>
          </w:tcPr>
          <w:p w:rsidR="008328EC" w:rsidRPr="008328EC" w:rsidRDefault="008328EC" w:rsidP="0033264A">
            <w:pPr>
              <w:spacing w:after="0" w:line="240" w:lineRule="auto"/>
              <w:contextualSpacing w:val="0"/>
              <w:jc w:val="center"/>
              <w:rPr>
                <w:rFonts w:eastAsia="Times New Roman" w:cs="Arial"/>
                <w:b/>
                <w:bCs/>
                <w:i/>
                <w:iCs/>
                <w:color w:val="FFFFFF" w:themeColor="background1"/>
                <w:sz w:val="20"/>
                <w:szCs w:val="24"/>
                <w:lang w:eastAsia="pt-BR"/>
              </w:rPr>
            </w:pPr>
            <w:r w:rsidRPr="008328EC">
              <w:rPr>
                <w:rFonts w:eastAsia="Times New Roman" w:cs="Arial"/>
                <w:b/>
                <w:bCs/>
                <w:i/>
                <w:iCs/>
                <w:color w:val="FFFFFF" w:themeColor="background1"/>
                <w:sz w:val="20"/>
                <w:szCs w:val="24"/>
                <w:lang w:eastAsia="pt-BR"/>
              </w:rPr>
              <w:t>10,25%</w:t>
            </w:r>
          </w:p>
        </w:tc>
        <w:tc>
          <w:tcPr>
            <w:tcW w:w="1373" w:type="dxa"/>
            <w:tcBorders>
              <w:top w:val="single" w:sz="4" w:space="0" w:color="auto"/>
              <w:left w:val="nil"/>
              <w:bottom w:val="single" w:sz="4" w:space="0" w:color="auto"/>
              <w:right w:val="nil"/>
            </w:tcBorders>
            <w:shd w:val="clear" w:color="000000" w:fill="000000"/>
            <w:noWrap/>
            <w:vAlign w:val="center"/>
            <w:hideMark/>
          </w:tcPr>
          <w:p w:rsidR="008328EC" w:rsidRPr="008328EC" w:rsidRDefault="008328EC" w:rsidP="0033264A">
            <w:pPr>
              <w:spacing w:after="0" w:line="240" w:lineRule="auto"/>
              <w:contextualSpacing w:val="0"/>
              <w:jc w:val="center"/>
              <w:rPr>
                <w:rFonts w:eastAsia="Times New Roman" w:cs="Arial"/>
                <w:b/>
                <w:bCs/>
                <w:i/>
                <w:iCs/>
                <w:color w:val="FFFFFF" w:themeColor="background1"/>
                <w:sz w:val="20"/>
                <w:szCs w:val="24"/>
                <w:lang w:eastAsia="pt-BR"/>
              </w:rPr>
            </w:pPr>
            <w:r w:rsidRPr="008328EC">
              <w:rPr>
                <w:rFonts w:eastAsia="Times New Roman" w:cs="Arial"/>
                <w:b/>
                <w:bCs/>
                <w:i/>
                <w:iCs/>
                <w:color w:val="FFFFFF" w:themeColor="background1"/>
                <w:sz w:val="20"/>
                <w:szCs w:val="24"/>
                <w:lang w:eastAsia="pt-BR"/>
              </w:rPr>
              <w:t>DÓLAR</w:t>
            </w:r>
          </w:p>
        </w:tc>
        <w:tc>
          <w:tcPr>
            <w:tcW w:w="1394" w:type="dxa"/>
            <w:tcBorders>
              <w:top w:val="single" w:sz="4" w:space="0" w:color="auto"/>
              <w:left w:val="nil"/>
              <w:bottom w:val="single" w:sz="4" w:space="0" w:color="auto"/>
              <w:right w:val="nil"/>
            </w:tcBorders>
            <w:shd w:val="clear" w:color="000000" w:fill="000000"/>
            <w:noWrap/>
            <w:vAlign w:val="center"/>
            <w:hideMark/>
          </w:tcPr>
          <w:p w:rsidR="008328EC" w:rsidRPr="008328EC" w:rsidRDefault="0033264A" w:rsidP="0033264A">
            <w:pPr>
              <w:spacing w:after="0" w:line="240" w:lineRule="auto"/>
              <w:contextualSpacing w:val="0"/>
              <w:jc w:val="center"/>
              <w:rPr>
                <w:rFonts w:eastAsia="Times New Roman" w:cs="Arial"/>
                <w:b/>
                <w:bCs/>
                <w:i/>
                <w:iCs/>
                <w:color w:val="FFFFFF" w:themeColor="background1"/>
                <w:sz w:val="20"/>
                <w:szCs w:val="24"/>
                <w:lang w:eastAsia="pt-BR"/>
              </w:rPr>
            </w:pPr>
            <w:r w:rsidRPr="00BD1632">
              <w:rPr>
                <w:rFonts w:eastAsia="Times New Roman" w:cs="Arial"/>
                <w:b/>
                <w:bCs/>
                <w:i/>
                <w:iCs/>
                <w:color w:val="FFFFFF" w:themeColor="background1"/>
                <w:sz w:val="20"/>
                <w:szCs w:val="24"/>
                <w:lang w:eastAsia="pt-BR"/>
              </w:rPr>
              <w:t xml:space="preserve">R$ </w:t>
            </w:r>
            <w:r w:rsidR="008328EC" w:rsidRPr="008328EC">
              <w:rPr>
                <w:rFonts w:eastAsia="Times New Roman" w:cs="Arial"/>
                <w:b/>
                <w:bCs/>
                <w:i/>
                <w:iCs/>
                <w:color w:val="FFFFFF" w:themeColor="background1"/>
                <w:sz w:val="20"/>
                <w:szCs w:val="24"/>
                <w:lang w:eastAsia="pt-BR"/>
              </w:rPr>
              <w:t>3,16</w:t>
            </w:r>
          </w:p>
        </w:tc>
      </w:tr>
      <w:tr w:rsidR="008328EC" w:rsidRPr="00BD1632" w:rsidTr="00BD1632">
        <w:trPr>
          <w:trHeight w:val="900"/>
        </w:trPr>
        <w:tc>
          <w:tcPr>
            <w:tcW w:w="529" w:type="dxa"/>
            <w:tcBorders>
              <w:top w:val="nil"/>
              <w:left w:val="nil"/>
              <w:bottom w:val="single" w:sz="4" w:space="0" w:color="auto"/>
              <w:right w:val="nil"/>
            </w:tcBorders>
            <w:shd w:val="clear" w:color="auto" w:fill="auto"/>
            <w:vAlign w:val="center"/>
            <w:hideMark/>
          </w:tcPr>
          <w:p w:rsidR="008328EC" w:rsidRPr="008328EC" w:rsidRDefault="008328EC" w:rsidP="008328EC">
            <w:pPr>
              <w:spacing w:after="0" w:line="240" w:lineRule="auto"/>
              <w:contextualSpacing w:val="0"/>
              <w:jc w:val="center"/>
              <w:rPr>
                <w:rFonts w:eastAsia="Times New Roman" w:cs="Arial"/>
                <w:b/>
                <w:bCs/>
                <w:i/>
                <w:iCs/>
                <w:color w:val="000000"/>
                <w:sz w:val="20"/>
                <w:szCs w:val="24"/>
                <w:lang w:eastAsia="pt-BR"/>
              </w:rPr>
            </w:pPr>
            <w:r w:rsidRPr="008328EC">
              <w:rPr>
                <w:rFonts w:eastAsia="Times New Roman" w:cs="Arial"/>
                <w:b/>
                <w:bCs/>
                <w:i/>
                <w:iCs/>
                <w:color w:val="000000"/>
                <w:sz w:val="20"/>
                <w:szCs w:val="24"/>
                <w:lang w:eastAsia="pt-BR"/>
              </w:rPr>
              <w:t>Ano</w:t>
            </w:r>
          </w:p>
        </w:tc>
        <w:tc>
          <w:tcPr>
            <w:tcW w:w="1096" w:type="dxa"/>
            <w:tcBorders>
              <w:top w:val="nil"/>
              <w:left w:val="nil"/>
              <w:bottom w:val="single" w:sz="4" w:space="0" w:color="auto"/>
              <w:right w:val="nil"/>
            </w:tcBorders>
            <w:shd w:val="clear" w:color="auto" w:fill="auto"/>
            <w:vAlign w:val="center"/>
            <w:hideMark/>
          </w:tcPr>
          <w:p w:rsidR="008328EC" w:rsidRPr="00BD1632" w:rsidRDefault="0033264A" w:rsidP="008328EC">
            <w:pPr>
              <w:spacing w:after="0" w:line="240" w:lineRule="auto"/>
              <w:contextualSpacing w:val="0"/>
              <w:jc w:val="center"/>
              <w:rPr>
                <w:rFonts w:eastAsia="Times New Roman" w:cs="Arial"/>
                <w:b/>
                <w:bCs/>
                <w:i/>
                <w:iCs/>
                <w:color w:val="000000"/>
                <w:sz w:val="20"/>
                <w:szCs w:val="24"/>
                <w:lang w:eastAsia="pt-BR"/>
              </w:rPr>
            </w:pPr>
            <w:r w:rsidRPr="00BD1632">
              <w:rPr>
                <w:rFonts w:eastAsia="Times New Roman" w:cs="Arial"/>
                <w:b/>
                <w:bCs/>
                <w:i/>
                <w:iCs/>
                <w:color w:val="000000"/>
                <w:sz w:val="20"/>
                <w:szCs w:val="24"/>
                <w:lang w:eastAsia="pt-BR"/>
              </w:rPr>
              <w:t xml:space="preserve">Economia </w:t>
            </w:r>
            <w:r w:rsidR="008328EC" w:rsidRPr="008328EC">
              <w:rPr>
                <w:rFonts w:eastAsia="Times New Roman" w:cs="Arial"/>
                <w:b/>
                <w:bCs/>
                <w:i/>
                <w:iCs/>
                <w:color w:val="000000"/>
                <w:sz w:val="20"/>
                <w:szCs w:val="24"/>
                <w:lang w:eastAsia="pt-BR"/>
              </w:rPr>
              <w:t>energia</w:t>
            </w:r>
          </w:p>
          <w:p w:rsidR="0033264A" w:rsidRPr="008328EC" w:rsidRDefault="0033264A" w:rsidP="008328EC">
            <w:pPr>
              <w:spacing w:after="0" w:line="240" w:lineRule="auto"/>
              <w:contextualSpacing w:val="0"/>
              <w:jc w:val="center"/>
              <w:rPr>
                <w:rFonts w:eastAsia="Times New Roman" w:cs="Arial"/>
                <w:b/>
                <w:bCs/>
                <w:i/>
                <w:iCs/>
                <w:color w:val="000000"/>
                <w:sz w:val="20"/>
                <w:szCs w:val="24"/>
                <w:lang w:eastAsia="pt-BR"/>
              </w:rPr>
            </w:pPr>
            <w:r w:rsidRPr="00BD1632">
              <w:rPr>
                <w:rFonts w:eastAsia="Times New Roman" w:cs="Arial"/>
                <w:b/>
                <w:bCs/>
                <w:i/>
                <w:iCs/>
                <w:color w:val="000000"/>
                <w:sz w:val="20"/>
                <w:szCs w:val="24"/>
                <w:lang w:eastAsia="pt-BR"/>
              </w:rPr>
              <w:t>(R$)</w:t>
            </w:r>
          </w:p>
        </w:tc>
        <w:tc>
          <w:tcPr>
            <w:tcW w:w="1174" w:type="dxa"/>
            <w:gridSpan w:val="2"/>
            <w:tcBorders>
              <w:top w:val="nil"/>
              <w:left w:val="nil"/>
              <w:bottom w:val="single" w:sz="4" w:space="0" w:color="auto"/>
              <w:right w:val="nil"/>
            </w:tcBorders>
            <w:shd w:val="clear" w:color="auto" w:fill="auto"/>
            <w:vAlign w:val="center"/>
            <w:hideMark/>
          </w:tcPr>
          <w:p w:rsidR="008328EC" w:rsidRPr="008328EC" w:rsidRDefault="0033264A" w:rsidP="008328EC">
            <w:pPr>
              <w:spacing w:after="0" w:line="240" w:lineRule="auto"/>
              <w:contextualSpacing w:val="0"/>
              <w:jc w:val="center"/>
              <w:rPr>
                <w:rFonts w:eastAsia="Times New Roman" w:cs="Arial"/>
                <w:b/>
                <w:bCs/>
                <w:i/>
                <w:iCs/>
                <w:color w:val="000000"/>
                <w:sz w:val="20"/>
                <w:szCs w:val="24"/>
                <w:lang w:eastAsia="pt-BR"/>
              </w:rPr>
            </w:pPr>
            <w:r w:rsidRPr="00BD1632">
              <w:rPr>
                <w:rFonts w:eastAsia="Times New Roman" w:cs="Arial"/>
                <w:b/>
                <w:bCs/>
                <w:i/>
                <w:iCs/>
                <w:color w:val="000000"/>
                <w:sz w:val="20"/>
                <w:szCs w:val="24"/>
                <w:lang w:eastAsia="pt-BR"/>
              </w:rPr>
              <w:t>Custo</w:t>
            </w:r>
            <w:r w:rsidR="008328EC" w:rsidRPr="008328EC">
              <w:rPr>
                <w:rFonts w:eastAsia="Times New Roman" w:cs="Arial"/>
                <w:b/>
                <w:bCs/>
                <w:i/>
                <w:iCs/>
                <w:color w:val="000000"/>
                <w:sz w:val="20"/>
                <w:szCs w:val="24"/>
                <w:lang w:eastAsia="pt-BR"/>
              </w:rPr>
              <w:t xml:space="preserve"> Polímero</w:t>
            </w:r>
            <w:r w:rsidRPr="00BD1632">
              <w:rPr>
                <w:rFonts w:eastAsia="Times New Roman" w:cs="Arial"/>
                <w:b/>
                <w:bCs/>
                <w:i/>
                <w:iCs/>
                <w:color w:val="000000"/>
                <w:sz w:val="20"/>
                <w:szCs w:val="24"/>
                <w:lang w:eastAsia="pt-BR"/>
              </w:rPr>
              <w:t xml:space="preserve"> (R$)</w:t>
            </w:r>
          </w:p>
        </w:tc>
        <w:tc>
          <w:tcPr>
            <w:tcW w:w="1307" w:type="dxa"/>
            <w:gridSpan w:val="2"/>
            <w:tcBorders>
              <w:top w:val="nil"/>
              <w:left w:val="nil"/>
              <w:bottom w:val="single" w:sz="4" w:space="0" w:color="auto"/>
              <w:right w:val="nil"/>
            </w:tcBorders>
            <w:shd w:val="clear" w:color="auto" w:fill="auto"/>
            <w:vAlign w:val="center"/>
            <w:hideMark/>
          </w:tcPr>
          <w:p w:rsidR="008328EC" w:rsidRPr="008328EC" w:rsidRDefault="008328EC" w:rsidP="008328EC">
            <w:pPr>
              <w:spacing w:after="0" w:line="240" w:lineRule="auto"/>
              <w:contextualSpacing w:val="0"/>
              <w:jc w:val="center"/>
              <w:rPr>
                <w:rFonts w:eastAsia="Times New Roman" w:cs="Arial"/>
                <w:b/>
                <w:bCs/>
                <w:i/>
                <w:iCs/>
                <w:color w:val="000000"/>
                <w:sz w:val="20"/>
                <w:szCs w:val="24"/>
                <w:lang w:eastAsia="pt-BR"/>
              </w:rPr>
            </w:pPr>
            <w:r w:rsidRPr="008328EC">
              <w:rPr>
                <w:rFonts w:eastAsia="Times New Roman" w:cs="Arial"/>
                <w:b/>
                <w:bCs/>
                <w:i/>
                <w:iCs/>
                <w:color w:val="000000"/>
                <w:sz w:val="20"/>
                <w:szCs w:val="24"/>
                <w:lang w:eastAsia="pt-BR"/>
              </w:rPr>
              <w:t>Manutenção e operação</w:t>
            </w:r>
            <w:r w:rsidR="0033264A" w:rsidRPr="00BD1632">
              <w:rPr>
                <w:rFonts w:eastAsia="Times New Roman" w:cs="Arial"/>
                <w:b/>
                <w:bCs/>
                <w:i/>
                <w:iCs/>
                <w:color w:val="000000"/>
                <w:sz w:val="20"/>
                <w:szCs w:val="24"/>
                <w:lang w:eastAsia="pt-BR"/>
              </w:rPr>
              <w:t xml:space="preserve"> (R$)</w:t>
            </w:r>
          </w:p>
        </w:tc>
        <w:tc>
          <w:tcPr>
            <w:tcW w:w="1168" w:type="dxa"/>
            <w:tcBorders>
              <w:top w:val="nil"/>
              <w:left w:val="nil"/>
              <w:bottom w:val="single" w:sz="4" w:space="0" w:color="auto"/>
              <w:right w:val="nil"/>
            </w:tcBorders>
            <w:shd w:val="clear" w:color="auto" w:fill="auto"/>
            <w:vAlign w:val="center"/>
            <w:hideMark/>
          </w:tcPr>
          <w:p w:rsidR="0033264A" w:rsidRPr="00BD1632" w:rsidRDefault="008328EC" w:rsidP="008328EC">
            <w:pPr>
              <w:spacing w:after="0" w:line="240" w:lineRule="auto"/>
              <w:contextualSpacing w:val="0"/>
              <w:jc w:val="center"/>
              <w:rPr>
                <w:rFonts w:eastAsia="Times New Roman" w:cs="Arial"/>
                <w:b/>
                <w:bCs/>
                <w:i/>
                <w:iCs/>
                <w:color w:val="000000"/>
                <w:sz w:val="20"/>
                <w:szCs w:val="24"/>
                <w:lang w:eastAsia="pt-BR"/>
              </w:rPr>
            </w:pPr>
            <w:r w:rsidRPr="008328EC">
              <w:rPr>
                <w:rFonts w:eastAsia="Times New Roman" w:cs="Arial"/>
                <w:b/>
                <w:bCs/>
                <w:i/>
                <w:iCs/>
                <w:color w:val="000000"/>
                <w:sz w:val="20"/>
                <w:szCs w:val="24"/>
                <w:lang w:eastAsia="pt-BR"/>
              </w:rPr>
              <w:t>Fluxo de Caixa</w:t>
            </w:r>
            <w:r w:rsidR="0033264A" w:rsidRPr="00BD1632">
              <w:rPr>
                <w:rFonts w:eastAsia="Times New Roman" w:cs="Arial"/>
                <w:b/>
                <w:bCs/>
                <w:i/>
                <w:iCs/>
                <w:color w:val="000000"/>
                <w:sz w:val="20"/>
                <w:szCs w:val="24"/>
                <w:lang w:eastAsia="pt-BR"/>
              </w:rPr>
              <w:t xml:space="preserve"> </w:t>
            </w:r>
          </w:p>
          <w:p w:rsidR="008328EC" w:rsidRPr="008328EC" w:rsidRDefault="0033264A" w:rsidP="008328EC">
            <w:pPr>
              <w:spacing w:after="0" w:line="240" w:lineRule="auto"/>
              <w:contextualSpacing w:val="0"/>
              <w:jc w:val="center"/>
              <w:rPr>
                <w:rFonts w:eastAsia="Times New Roman" w:cs="Arial"/>
                <w:b/>
                <w:bCs/>
                <w:i/>
                <w:iCs/>
                <w:color w:val="000000"/>
                <w:sz w:val="20"/>
                <w:szCs w:val="24"/>
                <w:lang w:eastAsia="pt-BR"/>
              </w:rPr>
            </w:pPr>
            <w:r w:rsidRPr="00BD1632">
              <w:rPr>
                <w:rFonts w:eastAsia="Times New Roman" w:cs="Arial"/>
                <w:b/>
                <w:bCs/>
                <w:i/>
                <w:iCs/>
                <w:color w:val="000000"/>
                <w:sz w:val="20"/>
                <w:szCs w:val="24"/>
                <w:lang w:eastAsia="pt-BR"/>
              </w:rPr>
              <w:t>(R$)</w:t>
            </w:r>
          </w:p>
        </w:tc>
        <w:tc>
          <w:tcPr>
            <w:tcW w:w="1291" w:type="dxa"/>
            <w:tcBorders>
              <w:top w:val="nil"/>
              <w:left w:val="nil"/>
              <w:bottom w:val="single" w:sz="4" w:space="0" w:color="auto"/>
              <w:right w:val="nil"/>
            </w:tcBorders>
            <w:shd w:val="clear" w:color="auto" w:fill="auto"/>
            <w:vAlign w:val="center"/>
            <w:hideMark/>
          </w:tcPr>
          <w:p w:rsidR="008328EC" w:rsidRPr="008328EC" w:rsidRDefault="008328EC" w:rsidP="0033264A">
            <w:pPr>
              <w:spacing w:after="0" w:line="240" w:lineRule="auto"/>
              <w:contextualSpacing w:val="0"/>
              <w:jc w:val="center"/>
              <w:rPr>
                <w:rFonts w:eastAsia="Times New Roman" w:cs="Arial"/>
                <w:b/>
                <w:bCs/>
                <w:i/>
                <w:iCs/>
                <w:color w:val="000000"/>
                <w:sz w:val="20"/>
                <w:szCs w:val="24"/>
                <w:lang w:eastAsia="pt-BR"/>
              </w:rPr>
            </w:pPr>
            <w:r w:rsidRPr="008328EC">
              <w:rPr>
                <w:rFonts w:eastAsia="Times New Roman" w:cs="Arial"/>
                <w:b/>
                <w:bCs/>
                <w:i/>
                <w:iCs/>
                <w:color w:val="000000"/>
                <w:sz w:val="20"/>
                <w:szCs w:val="24"/>
                <w:lang w:eastAsia="pt-BR"/>
              </w:rPr>
              <w:t>Fluxo de Caixa Ac</w:t>
            </w:r>
            <w:r w:rsidR="0033264A" w:rsidRPr="00BD1632">
              <w:rPr>
                <w:rFonts w:eastAsia="Times New Roman" w:cs="Arial"/>
                <w:b/>
                <w:bCs/>
                <w:i/>
                <w:iCs/>
                <w:color w:val="000000"/>
                <w:sz w:val="20"/>
                <w:szCs w:val="24"/>
                <w:lang w:eastAsia="pt-BR"/>
              </w:rPr>
              <w:t>m. (R$)</w:t>
            </w:r>
          </w:p>
        </w:tc>
        <w:tc>
          <w:tcPr>
            <w:tcW w:w="1373" w:type="dxa"/>
            <w:tcBorders>
              <w:top w:val="nil"/>
              <w:left w:val="nil"/>
              <w:bottom w:val="single" w:sz="4" w:space="0" w:color="auto"/>
              <w:right w:val="nil"/>
            </w:tcBorders>
            <w:shd w:val="clear" w:color="auto" w:fill="auto"/>
            <w:vAlign w:val="center"/>
            <w:hideMark/>
          </w:tcPr>
          <w:p w:rsidR="008328EC" w:rsidRPr="00BD1632" w:rsidRDefault="00BD1632" w:rsidP="0033264A">
            <w:pPr>
              <w:spacing w:after="0" w:line="240" w:lineRule="auto"/>
              <w:contextualSpacing w:val="0"/>
              <w:jc w:val="center"/>
              <w:rPr>
                <w:rFonts w:eastAsia="Times New Roman" w:cs="Arial"/>
                <w:b/>
                <w:bCs/>
                <w:i/>
                <w:iCs/>
                <w:color w:val="000000"/>
                <w:sz w:val="20"/>
                <w:szCs w:val="24"/>
                <w:lang w:eastAsia="pt-BR"/>
              </w:rPr>
            </w:pPr>
            <w:r>
              <w:rPr>
                <w:rFonts w:eastAsia="Times New Roman" w:cs="Arial"/>
                <w:b/>
                <w:bCs/>
                <w:i/>
                <w:iCs/>
                <w:color w:val="000000"/>
                <w:sz w:val="20"/>
                <w:szCs w:val="24"/>
                <w:lang w:eastAsia="pt-BR"/>
              </w:rPr>
              <w:t xml:space="preserve">Fluxo de Caixa </w:t>
            </w:r>
            <w:r w:rsidR="008328EC" w:rsidRPr="008328EC">
              <w:rPr>
                <w:rFonts w:eastAsia="Times New Roman" w:cs="Arial"/>
                <w:b/>
                <w:bCs/>
                <w:i/>
                <w:iCs/>
                <w:color w:val="000000"/>
                <w:sz w:val="20"/>
                <w:szCs w:val="24"/>
                <w:lang w:eastAsia="pt-BR"/>
              </w:rPr>
              <w:t>Desc</w:t>
            </w:r>
            <w:r w:rsidR="0033264A" w:rsidRPr="00BD1632">
              <w:rPr>
                <w:rFonts w:eastAsia="Times New Roman" w:cs="Arial"/>
                <w:b/>
                <w:bCs/>
                <w:i/>
                <w:iCs/>
                <w:color w:val="000000"/>
                <w:sz w:val="20"/>
                <w:szCs w:val="24"/>
                <w:lang w:eastAsia="pt-BR"/>
              </w:rPr>
              <w:t>.</w:t>
            </w:r>
          </w:p>
          <w:p w:rsidR="0033264A" w:rsidRPr="008328EC" w:rsidRDefault="0033264A" w:rsidP="0033264A">
            <w:pPr>
              <w:spacing w:after="0" w:line="240" w:lineRule="auto"/>
              <w:contextualSpacing w:val="0"/>
              <w:jc w:val="center"/>
              <w:rPr>
                <w:rFonts w:eastAsia="Times New Roman" w:cs="Arial"/>
                <w:b/>
                <w:bCs/>
                <w:i/>
                <w:iCs/>
                <w:color w:val="000000"/>
                <w:sz w:val="20"/>
                <w:szCs w:val="24"/>
                <w:lang w:eastAsia="pt-BR"/>
              </w:rPr>
            </w:pPr>
            <w:r w:rsidRPr="00BD1632">
              <w:rPr>
                <w:rFonts w:eastAsia="Times New Roman" w:cs="Arial"/>
                <w:b/>
                <w:bCs/>
                <w:i/>
                <w:iCs/>
                <w:color w:val="000000"/>
                <w:sz w:val="20"/>
                <w:szCs w:val="24"/>
                <w:lang w:eastAsia="pt-BR"/>
              </w:rPr>
              <w:t>(R$)</w:t>
            </w:r>
          </w:p>
        </w:tc>
        <w:tc>
          <w:tcPr>
            <w:tcW w:w="1394" w:type="dxa"/>
            <w:tcBorders>
              <w:top w:val="nil"/>
              <w:left w:val="nil"/>
              <w:bottom w:val="single" w:sz="4" w:space="0" w:color="auto"/>
              <w:right w:val="nil"/>
            </w:tcBorders>
            <w:shd w:val="clear" w:color="auto" w:fill="auto"/>
            <w:vAlign w:val="center"/>
            <w:hideMark/>
          </w:tcPr>
          <w:p w:rsidR="008328EC" w:rsidRPr="008328EC" w:rsidRDefault="008328EC" w:rsidP="0033264A">
            <w:pPr>
              <w:spacing w:after="0" w:line="240" w:lineRule="auto"/>
              <w:contextualSpacing w:val="0"/>
              <w:jc w:val="center"/>
              <w:rPr>
                <w:rFonts w:eastAsia="Times New Roman" w:cs="Arial"/>
                <w:b/>
                <w:bCs/>
                <w:i/>
                <w:iCs/>
                <w:color w:val="000000"/>
                <w:sz w:val="20"/>
                <w:szCs w:val="24"/>
                <w:lang w:eastAsia="pt-BR"/>
              </w:rPr>
            </w:pPr>
            <w:r w:rsidRPr="008328EC">
              <w:rPr>
                <w:rFonts w:eastAsia="Times New Roman" w:cs="Arial"/>
                <w:b/>
                <w:bCs/>
                <w:i/>
                <w:iCs/>
                <w:color w:val="000000"/>
                <w:sz w:val="20"/>
                <w:szCs w:val="24"/>
                <w:lang w:eastAsia="pt-BR"/>
              </w:rPr>
              <w:t>Fluxo de Caixa Desc</w:t>
            </w:r>
            <w:r w:rsidR="0033264A" w:rsidRPr="00BD1632">
              <w:rPr>
                <w:rFonts w:eastAsia="Times New Roman" w:cs="Arial"/>
                <w:b/>
                <w:bCs/>
                <w:i/>
                <w:iCs/>
                <w:color w:val="000000"/>
                <w:sz w:val="20"/>
                <w:szCs w:val="24"/>
                <w:lang w:eastAsia="pt-BR"/>
              </w:rPr>
              <w:t>. Acm. (R$)</w:t>
            </w:r>
          </w:p>
        </w:tc>
      </w:tr>
      <w:tr w:rsidR="0033264A" w:rsidRPr="008328EC" w:rsidTr="00BD1632">
        <w:trPr>
          <w:trHeight w:val="300"/>
        </w:trPr>
        <w:tc>
          <w:tcPr>
            <w:tcW w:w="529" w:type="dxa"/>
            <w:tcBorders>
              <w:top w:val="nil"/>
              <w:left w:val="nil"/>
              <w:bottom w:val="single" w:sz="4" w:space="0" w:color="auto"/>
              <w:right w:val="nil"/>
            </w:tcBorders>
            <w:shd w:val="clear" w:color="auto" w:fill="auto"/>
            <w:noWrap/>
            <w:vAlign w:val="center"/>
            <w:hideMark/>
          </w:tcPr>
          <w:p w:rsidR="0033264A" w:rsidRPr="008328EC" w:rsidRDefault="0033264A" w:rsidP="0033264A">
            <w:pPr>
              <w:spacing w:after="0" w:line="240" w:lineRule="auto"/>
              <w:contextualSpacing w:val="0"/>
              <w:jc w:val="center"/>
              <w:rPr>
                <w:rFonts w:ascii="Calibri" w:eastAsia="Times New Roman" w:hAnsi="Calibri" w:cs="Times New Roman"/>
                <w:color w:val="000000"/>
                <w:sz w:val="22"/>
                <w:lang w:eastAsia="pt-BR"/>
              </w:rPr>
            </w:pPr>
            <w:r w:rsidRPr="008328EC">
              <w:rPr>
                <w:rFonts w:ascii="Calibri" w:eastAsia="Times New Roman" w:hAnsi="Calibri" w:cs="Times New Roman"/>
                <w:color w:val="000000"/>
                <w:sz w:val="22"/>
                <w:lang w:eastAsia="pt-BR"/>
              </w:rPr>
              <w:t>0</w:t>
            </w:r>
          </w:p>
        </w:tc>
        <w:tc>
          <w:tcPr>
            <w:tcW w:w="1096" w:type="dxa"/>
            <w:tcBorders>
              <w:top w:val="nil"/>
              <w:left w:val="nil"/>
              <w:bottom w:val="single" w:sz="4" w:space="0" w:color="auto"/>
              <w:right w:val="nil"/>
            </w:tcBorders>
            <w:shd w:val="clear" w:color="auto" w:fill="auto"/>
            <w:noWrap/>
            <w:vAlign w:val="center"/>
            <w:hideMark/>
          </w:tcPr>
          <w:p w:rsidR="0033264A" w:rsidRDefault="0033264A" w:rsidP="0033264A">
            <w:pPr>
              <w:spacing w:after="0" w:line="240" w:lineRule="auto"/>
              <w:contextualSpacing w:val="0"/>
              <w:jc w:val="center"/>
              <w:rPr>
                <w:rFonts w:ascii="Calibri" w:hAnsi="Calibri"/>
                <w:color w:val="000000"/>
                <w:sz w:val="22"/>
              </w:rPr>
            </w:pPr>
            <w:r>
              <w:rPr>
                <w:rFonts w:ascii="Calibri" w:hAnsi="Calibri"/>
                <w:color w:val="000000"/>
                <w:sz w:val="22"/>
              </w:rPr>
              <w:t>-</w:t>
            </w:r>
          </w:p>
        </w:tc>
        <w:tc>
          <w:tcPr>
            <w:tcW w:w="1174" w:type="dxa"/>
            <w:gridSpan w:val="2"/>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w:t>
            </w:r>
          </w:p>
        </w:tc>
        <w:tc>
          <w:tcPr>
            <w:tcW w:w="1307" w:type="dxa"/>
            <w:gridSpan w:val="2"/>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w:t>
            </w:r>
          </w:p>
        </w:tc>
        <w:tc>
          <w:tcPr>
            <w:tcW w:w="1168" w:type="dxa"/>
            <w:tcBorders>
              <w:top w:val="nil"/>
              <w:left w:val="nil"/>
              <w:bottom w:val="single" w:sz="4" w:space="0" w:color="auto"/>
              <w:right w:val="nil"/>
            </w:tcBorders>
            <w:shd w:val="clear" w:color="auto" w:fill="auto"/>
            <w:noWrap/>
            <w:vAlign w:val="center"/>
            <w:hideMark/>
          </w:tcPr>
          <w:p w:rsidR="0033264A" w:rsidRPr="0033264A" w:rsidRDefault="0033264A" w:rsidP="0033264A">
            <w:pPr>
              <w:jc w:val="center"/>
              <w:rPr>
                <w:rFonts w:ascii="Calibri" w:hAnsi="Calibri"/>
                <w:color w:val="FF0000"/>
                <w:sz w:val="22"/>
              </w:rPr>
            </w:pPr>
            <w:r w:rsidRPr="0033264A">
              <w:rPr>
                <w:rFonts w:ascii="Calibri" w:hAnsi="Calibri"/>
                <w:color w:val="FF0000"/>
                <w:sz w:val="22"/>
              </w:rPr>
              <w:t>-19.899,00</w:t>
            </w:r>
          </w:p>
        </w:tc>
        <w:tc>
          <w:tcPr>
            <w:tcW w:w="1291" w:type="dxa"/>
            <w:tcBorders>
              <w:top w:val="nil"/>
              <w:left w:val="nil"/>
              <w:bottom w:val="single" w:sz="4" w:space="0" w:color="auto"/>
              <w:right w:val="nil"/>
            </w:tcBorders>
            <w:shd w:val="clear" w:color="auto" w:fill="auto"/>
            <w:noWrap/>
            <w:vAlign w:val="center"/>
            <w:hideMark/>
          </w:tcPr>
          <w:p w:rsidR="0033264A" w:rsidRPr="0033264A" w:rsidRDefault="0033264A" w:rsidP="0033264A">
            <w:pPr>
              <w:jc w:val="center"/>
              <w:rPr>
                <w:rFonts w:ascii="Calibri" w:hAnsi="Calibri"/>
                <w:color w:val="FF0000"/>
                <w:sz w:val="22"/>
              </w:rPr>
            </w:pPr>
            <w:r w:rsidRPr="0033264A">
              <w:rPr>
                <w:rFonts w:ascii="Calibri" w:hAnsi="Calibri"/>
                <w:color w:val="FF0000"/>
                <w:sz w:val="22"/>
              </w:rPr>
              <w:t>-19.899,00</w:t>
            </w:r>
          </w:p>
        </w:tc>
        <w:tc>
          <w:tcPr>
            <w:tcW w:w="1373" w:type="dxa"/>
            <w:tcBorders>
              <w:top w:val="nil"/>
              <w:left w:val="nil"/>
              <w:bottom w:val="single" w:sz="4" w:space="0" w:color="auto"/>
              <w:right w:val="nil"/>
            </w:tcBorders>
            <w:shd w:val="clear" w:color="auto" w:fill="auto"/>
            <w:noWrap/>
            <w:vAlign w:val="center"/>
            <w:hideMark/>
          </w:tcPr>
          <w:p w:rsidR="0033264A" w:rsidRPr="0033264A" w:rsidRDefault="0033264A" w:rsidP="0033264A">
            <w:pPr>
              <w:jc w:val="center"/>
              <w:rPr>
                <w:rFonts w:ascii="Calibri" w:hAnsi="Calibri"/>
                <w:color w:val="FF0000"/>
                <w:sz w:val="22"/>
              </w:rPr>
            </w:pPr>
            <w:r w:rsidRPr="0033264A">
              <w:rPr>
                <w:rFonts w:ascii="Calibri" w:hAnsi="Calibri"/>
                <w:color w:val="FF0000"/>
                <w:sz w:val="22"/>
              </w:rPr>
              <w:t>-19.899,00</w:t>
            </w:r>
          </w:p>
        </w:tc>
        <w:tc>
          <w:tcPr>
            <w:tcW w:w="1394" w:type="dxa"/>
            <w:tcBorders>
              <w:top w:val="nil"/>
              <w:left w:val="nil"/>
              <w:bottom w:val="single" w:sz="4" w:space="0" w:color="auto"/>
              <w:right w:val="nil"/>
            </w:tcBorders>
            <w:shd w:val="clear" w:color="auto" w:fill="auto"/>
            <w:noWrap/>
            <w:vAlign w:val="center"/>
            <w:hideMark/>
          </w:tcPr>
          <w:p w:rsidR="0033264A" w:rsidRPr="0033264A" w:rsidRDefault="0033264A" w:rsidP="0033264A">
            <w:pPr>
              <w:jc w:val="center"/>
              <w:rPr>
                <w:rFonts w:ascii="Calibri" w:hAnsi="Calibri"/>
                <w:color w:val="FF0000"/>
                <w:sz w:val="22"/>
              </w:rPr>
            </w:pPr>
            <w:r w:rsidRPr="0033264A">
              <w:rPr>
                <w:rFonts w:ascii="Calibri" w:hAnsi="Calibri"/>
                <w:color w:val="FF0000"/>
                <w:sz w:val="22"/>
              </w:rPr>
              <w:t>-19.899,00</w:t>
            </w:r>
          </w:p>
        </w:tc>
      </w:tr>
      <w:tr w:rsidR="0033264A" w:rsidRPr="008328EC" w:rsidTr="00BD1632">
        <w:trPr>
          <w:trHeight w:val="300"/>
        </w:trPr>
        <w:tc>
          <w:tcPr>
            <w:tcW w:w="529" w:type="dxa"/>
            <w:tcBorders>
              <w:top w:val="nil"/>
              <w:left w:val="nil"/>
              <w:bottom w:val="single" w:sz="4" w:space="0" w:color="auto"/>
              <w:right w:val="nil"/>
            </w:tcBorders>
            <w:shd w:val="clear" w:color="auto" w:fill="auto"/>
            <w:noWrap/>
            <w:vAlign w:val="center"/>
            <w:hideMark/>
          </w:tcPr>
          <w:p w:rsidR="0033264A" w:rsidRPr="008328EC" w:rsidRDefault="0033264A" w:rsidP="0033264A">
            <w:pPr>
              <w:spacing w:after="0" w:line="240" w:lineRule="auto"/>
              <w:contextualSpacing w:val="0"/>
              <w:jc w:val="center"/>
              <w:rPr>
                <w:rFonts w:ascii="Calibri" w:eastAsia="Times New Roman" w:hAnsi="Calibri" w:cs="Times New Roman"/>
                <w:color w:val="000000"/>
                <w:sz w:val="22"/>
                <w:lang w:eastAsia="pt-BR"/>
              </w:rPr>
            </w:pPr>
            <w:r w:rsidRPr="008328EC">
              <w:rPr>
                <w:rFonts w:ascii="Calibri" w:eastAsia="Times New Roman" w:hAnsi="Calibri" w:cs="Times New Roman"/>
                <w:color w:val="000000"/>
                <w:sz w:val="22"/>
                <w:lang w:eastAsia="pt-BR"/>
              </w:rPr>
              <w:t>1</w:t>
            </w:r>
          </w:p>
        </w:tc>
        <w:tc>
          <w:tcPr>
            <w:tcW w:w="1096" w:type="dxa"/>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2.938,59</w:t>
            </w:r>
          </w:p>
        </w:tc>
        <w:tc>
          <w:tcPr>
            <w:tcW w:w="1174" w:type="dxa"/>
            <w:gridSpan w:val="2"/>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124,84</w:t>
            </w:r>
          </w:p>
        </w:tc>
        <w:tc>
          <w:tcPr>
            <w:tcW w:w="1307" w:type="dxa"/>
            <w:gridSpan w:val="2"/>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198,99</w:t>
            </w:r>
          </w:p>
        </w:tc>
        <w:tc>
          <w:tcPr>
            <w:tcW w:w="1168" w:type="dxa"/>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2.614,76</w:t>
            </w:r>
          </w:p>
        </w:tc>
        <w:tc>
          <w:tcPr>
            <w:tcW w:w="1291" w:type="dxa"/>
            <w:tcBorders>
              <w:top w:val="nil"/>
              <w:left w:val="nil"/>
              <w:bottom w:val="single" w:sz="4" w:space="0" w:color="auto"/>
              <w:right w:val="nil"/>
            </w:tcBorders>
            <w:shd w:val="clear" w:color="auto" w:fill="auto"/>
            <w:noWrap/>
            <w:vAlign w:val="center"/>
            <w:hideMark/>
          </w:tcPr>
          <w:p w:rsidR="0033264A" w:rsidRPr="009F7E75" w:rsidRDefault="0033264A" w:rsidP="0033264A">
            <w:pPr>
              <w:jc w:val="center"/>
              <w:rPr>
                <w:rFonts w:ascii="Calibri" w:hAnsi="Calibri"/>
                <w:color w:val="FF0000"/>
                <w:sz w:val="22"/>
              </w:rPr>
            </w:pPr>
            <w:r w:rsidRPr="009F7E75">
              <w:rPr>
                <w:rFonts w:ascii="Calibri" w:hAnsi="Calibri"/>
                <w:color w:val="FF0000"/>
                <w:sz w:val="22"/>
              </w:rPr>
              <w:t>-17.284,24</w:t>
            </w:r>
          </w:p>
        </w:tc>
        <w:tc>
          <w:tcPr>
            <w:tcW w:w="1373" w:type="dxa"/>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2.371,66</w:t>
            </w:r>
          </w:p>
        </w:tc>
        <w:tc>
          <w:tcPr>
            <w:tcW w:w="1394" w:type="dxa"/>
            <w:tcBorders>
              <w:top w:val="nil"/>
              <w:left w:val="nil"/>
              <w:bottom w:val="single" w:sz="4" w:space="0" w:color="auto"/>
              <w:right w:val="nil"/>
            </w:tcBorders>
            <w:shd w:val="clear" w:color="auto" w:fill="auto"/>
            <w:noWrap/>
            <w:vAlign w:val="center"/>
            <w:hideMark/>
          </w:tcPr>
          <w:p w:rsidR="0033264A" w:rsidRPr="0033264A" w:rsidRDefault="0033264A" w:rsidP="0033264A">
            <w:pPr>
              <w:jc w:val="center"/>
              <w:rPr>
                <w:rFonts w:ascii="Calibri" w:hAnsi="Calibri"/>
                <w:color w:val="FF0000"/>
                <w:sz w:val="22"/>
              </w:rPr>
            </w:pPr>
            <w:r w:rsidRPr="0033264A">
              <w:rPr>
                <w:rFonts w:ascii="Calibri" w:hAnsi="Calibri"/>
                <w:color w:val="FF0000"/>
                <w:sz w:val="22"/>
              </w:rPr>
              <w:t>-17.527,34</w:t>
            </w:r>
          </w:p>
        </w:tc>
      </w:tr>
      <w:tr w:rsidR="0033264A" w:rsidRPr="008328EC" w:rsidTr="00BD1632">
        <w:trPr>
          <w:trHeight w:val="300"/>
        </w:trPr>
        <w:tc>
          <w:tcPr>
            <w:tcW w:w="529" w:type="dxa"/>
            <w:tcBorders>
              <w:top w:val="nil"/>
              <w:left w:val="nil"/>
              <w:bottom w:val="single" w:sz="4" w:space="0" w:color="auto"/>
              <w:right w:val="nil"/>
            </w:tcBorders>
            <w:shd w:val="clear" w:color="auto" w:fill="auto"/>
            <w:noWrap/>
            <w:vAlign w:val="center"/>
            <w:hideMark/>
          </w:tcPr>
          <w:p w:rsidR="0033264A" w:rsidRPr="008328EC" w:rsidRDefault="0033264A" w:rsidP="0033264A">
            <w:pPr>
              <w:spacing w:after="0" w:line="240" w:lineRule="auto"/>
              <w:contextualSpacing w:val="0"/>
              <w:jc w:val="center"/>
              <w:rPr>
                <w:rFonts w:ascii="Calibri" w:eastAsia="Times New Roman" w:hAnsi="Calibri" w:cs="Times New Roman"/>
                <w:color w:val="000000"/>
                <w:sz w:val="22"/>
                <w:lang w:eastAsia="pt-BR"/>
              </w:rPr>
            </w:pPr>
            <w:r w:rsidRPr="008328EC">
              <w:rPr>
                <w:rFonts w:ascii="Calibri" w:eastAsia="Times New Roman" w:hAnsi="Calibri" w:cs="Times New Roman"/>
                <w:color w:val="000000"/>
                <w:sz w:val="22"/>
                <w:lang w:eastAsia="pt-BR"/>
              </w:rPr>
              <w:t>2</w:t>
            </w:r>
          </w:p>
        </w:tc>
        <w:tc>
          <w:tcPr>
            <w:tcW w:w="1096" w:type="dxa"/>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3.079,64</w:t>
            </w:r>
          </w:p>
        </w:tc>
        <w:tc>
          <w:tcPr>
            <w:tcW w:w="1174" w:type="dxa"/>
            <w:gridSpan w:val="2"/>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131,40</w:t>
            </w:r>
          </w:p>
        </w:tc>
        <w:tc>
          <w:tcPr>
            <w:tcW w:w="1307" w:type="dxa"/>
            <w:gridSpan w:val="2"/>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209,44</w:t>
            </w:r>
          </w:p>
        </w:tc>
        <w:tc>
          <w:tcPr>
            <w:tcW w:w="1168" w:type="dxa"/>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2.738,81</w:t>
            </w:r>
          </w:p>
        </w:tc>
        <w:tc>
          <w:tcPr>
            <w:tcW w:w="1291" w:type="dxa"/>
            <w:tcBorders>
              <w:top w:val="nil"/>
              <w:left w:val="nil"/>
              <w:bottom w:val="single" w:sz="4" w:space="0" w:color="auto"/>
              <w:right w:val="nil"/>
            </w:tcBorders>
            <w:shd w:val="clear" w:color="auto" w:fill="auto"/>
            <w:noWrap/>
            <w:vAlign w:val="center"/>
            <w:hideMark/>
          </w:tcPr>
          <w:p w:rsidR="0033264A" w:rsidRPr="009F7E75" w:rsidRDefault="0033264A" w:rsidP="0033264A">
            <w:pPr>
              <w:jc w:val="center"/>
              <w:rPr>
                <w:rFonts w:ascii="Calibri" w:hAnsi="Calibri"/>
                <w:color w:val="FF0000"/>
                <w:sz w:val="22"/>
              </w:rPr>
            </w:pPr>
            <w:r w:rsidRPr="009F7E75">
              <w:rPr>
                <w:rFonts w:ascii="Calibri" w:hAnsi="Calibri"/>
                <w:color w:val="FF0000"/>
                <w:sz w:val="22"/>
              </w:rPr>
              <w:t>-14.545,43</w:t>
            </w:r>
          </w:p>
        </w:tc>
        <w:tc>
          <w:tcPr>
            <w:tcW w:w="1373" w:type="dxa"/>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2.253,23</w:t>
            </w:r>
          </w:p>
        </w:tc>
        <w:tc>
          <w:tcPr>
            <w:tcW w:w="1394" w:type="dxa"/>
            <w:tcBorders>
              <w:top w:val="nil"/>
              <w:left w:val="nil"/>
              <w:bottom w:val="single" w:sz="4" w:space="0" w:color="auto"/>
              <w:right w:val="nil"/>
            </w:tcBorders>
            <w:shd w:val="clear" w:color="auto" w:fill="auto"/>
            <w:noWrap/>
            <w:vAlign w:val="center"/>
            <w:hideMark/>
          </w:tcPr>
          <w:p w:rsidR="0033264A" w:rsidRPr="0033264A" w:rsidRDefault="0033264A" w:rsidP="0033264A">
            <w:pPr>
              <w:jc w:val="center"/>
              <w:rPr>
                <w:rFonts w:ascii="Calibri" w:hAnsi="Calibri"/>
                <w:color w:val="FF0000"/>
                <w:sz w:val="22"/>
              </w:rPr>
            </w:pPr>
            <w:r w:rsidRPr="0033264A">
              <w:rPr>
                <w:rFonts w:ascii="Calibri" w:hAnsi="Calibri"/>
                <w:color w:val="FF0000"/>
                <w:sz w:val="22"/>
              </w:rPr>
              <w:t>-15.274,11</w:t>
            </w:r>
          </w:p>
        </w:tc>
      </w:tr>
      <w:tr w:rsidR="0033264A" w:rsidRPr="008328EC" w:rsidTr="00BD1632">
        <w:trPr>
          <w:trHeight w:val="300"/>
        </w:trPr>
        <w:tc>
          <w:tcPr>
            <w:tcW w:w="529" w:type="dxa"/>
            <w:tcBorders>
              <w:top w:val="nil"/>
              <w:left w:val="nil"/>
              <w:bottom w:val="single" w:sz="4" w:space="0" w:color="auto"/>
              <w:right w:val="nil"/>
            </w:tcBorders>
            <w:shd w:val="clear" w:color="auto" w:fill="auto"/>
            <w:noWrap/>
            <w:vAlign w:val="center"/>
            <w:hideMark/>
          </w:tcPr>
          <w:p w:rsidR="0033264A" w:rsidRPr="008328EC" w:rsidRDefault="0033264A" w:rsidP="0033264A">
            <w:pPr>
              <w:spacing w:after="0" w:line="240" w:lineRule="auto"/>
              <w:contextualSpacing w:val="0"/>
              <w:jc w:val="center"/>
              <w:rPr>
                <w:rFonts w:ascii="Calibri" w:eastAsia="Times New Roman" w:hAnsi="Calibri" w:cs="Times New Roman"/>
                <w:color w:val="000000"/>
                <w:sz w:val="22"/>
                <w:lang w:eastAsia="pt-BR"/>
              </w:rPr>
            </w:pPr>
            <w:r w:rsidRPr="008328EC">
              <w:rPr>
                <w:rFonts w:ascii="Calibri" w:eastAsia="Times New Roman" w:hAnsi="Calibri" w:cs="Times New Roman"/>
                <w:color w:val="000000"/>
                <w:sz w:val="22"/>
                <w:lang w:eastAsia="pt-BR"/>
              </w:rPr>
              <w:t>3</w:t>
            </w:r>
          </w:p>
        </w:tc>
        <w:tc>
          <w:tcPr>
            <w:tcW w:w="1096" w:type="dxa"/>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3.227,47</w:t>
            </w:r>
          </w:p>
        </w:tc>
        <w:tc>
          <w:tcPr>
            <w:tcW w:w="1174" w:type="dxa"/>
            <w:gridSpan w:val="2"/>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138,30</w:t>
            </w:r>
          </w:p>
        </w:tc>
        <w:tc>
          <w:tcPr>
            <w:tcW w:w="1307" w:type="dxa"/>
            <w:gridSpan w:val="2"/>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220,43</w:t>
            </w:r>
          </w:p>
        </w:tc>
        <w:tc>
          <w:tcPr>
            <w:tcW w:w="1168" w:type="dxa"/>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2.868,74</w:t>
            </w:r>
          </w:p>
        </w:tc>
        <w:tc>
          <w:tcPr>
            <w:tcW w:w="1291" w:type="dxa"/>
            <w:tcBorders>
              <w:top w:val="nil"/>
              <w:left w:val="nil"/>
              <w:bottom w:val="single" w:sz="4" w:space="0" w:color="auto"/>
              <w:right w:val="nil"/>
            </w:tcBorders>
            <w:shd w:val="clear" w:color="auto" w:fill="auto"/>
            <w:noWrap/>
            <w:vAlign w:val="center"/>
            <w:hideMark/>
          </w:tcPr>
          <w:p w:rsidR="0033264A" w:rsidRPr="009F7E75" w:rsidRDefault="0033264A" w:rsidP="0033264A">
            <w:pPr>
              <w:jc w:val="center"/>
              <w:rPr>
                <w:rFonts w:ascii="Calibri" w:hAnsi="Calibri"/>
                <w:color w:val="FF0000"/>
                <w:sz w:val="22"/>
              </w:rPr>
            </w:pPr>
            <w:r w:rsidRPr="009F7E75">
              <w:rPr>
                <w:rFonts w:ascii="Calibri" w:hAnsi="Calibri"/>
                <w:color w:val="FF0000"/>
                <w:sz w:val="22"/>
              </w:rPr>
              <w:t>-11.676,69</w:t>
            </w:r>
          </w:p>
        </w:tc>
        <w:tc>
          <w:tcPr>
            <w:tcW w:w="1373" w:type="dxa"/>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2.140,70</w:t>
            </w:r>
          </w:p>
        </w:tc>
        <w:tc>
          <w:tcPr>
            <w:tcW w:w="1394" w:type="dxa"/>
            <w:tcBorders>
              <w:top w:val="nil"/>
              <w:left w:val="nil"/>
              <w:bottom w:val="single" w:sz="4" w:space="0" w:color="auto"/>
              <w:right w:val="nil"/>
            </w:tcBorders>
            <w:shd w:val="clear" w:color="auto" w:fill="auto"/>
            <w:noWrap/>
            <w:vAlign w:val="center"/>
            <w:hideMark/>
          </w:tcPr>
          <w:p w:rsidR="0033264A" w:rsidRPr="0033264A" w:rsidRDefault="0033264A" w:rsidP="0033264A">
            <w:pPr>
              <w:jc w:val="center"/>
              <w:rPr>
                <w:rFonts w:ascii="Calibri" w:hAnsi="Calibri"/>
                <w:color w:val="FF0000"/>
                <w:sz w:val="22"/>
              </w:rPr>
            </w:pPr>
            <w:r w:rsidRPr="0033264A">
              <w:rPr>
                <w:rFonts w:ascii="Calibri" w:hAnsi="Calibri"/>
                <w:color w:val="FF0000"/>
                <w:sz w:val="22"/>
              </w:rPr>
              <w:t>-13.133,42</w:t>
            </w:r>
          </w:p>
        </w:tc>
      </w:tr>
      <w:tr w:rsidR="0033264A" w:rsidRPr="008328EC" w:rsidTr="00BD1632">
        <w:trPr>
          <w:trHeight w:val="300"/>
        </w:trPr>
        <w:tc>
          <w:tcPr>
            <w:tcW w:w="529" w:type="dxa"/>
            <w:tcBorders>
              <w:top w:val="nil"/>
              <w:left w:val="nil"/>
              <w:bottom w:val="single" w:sz="4" w:space="0" w:color="auto"/>
              <w:right w:val="nil"/>
            </w:tcBorders>
            <w:shd w:val="clear" w:color="auto" w:fill="auto"/>
            <w:noWrap/>
            <w:vAlign w:val="center"/>
            <w:hideMark/>
          </w:tcPr>
          <w:p w:rsidR="0033264A" w:rsidRPr="008328EC" w:rsidRDefault="0033264A" w:rsidP="0033264A">
            <w:pPr>
              <w:spacing w:after="0" w:line="240" w:lineRule="auto"/>
              <w:contextualSpacing w:val="0"/>
              <w:jc w:val="center"/>
              <w:rPr>
                <w:rFonts w:ascii="Calibri" w:eastAsia="Times New Roman" w:hAnsi="Calibri" w:cs="Times New Roman"/>
                <w:color w:val="000000"/>
                <w:sz w:val="22"/>
                <w:lang w:eastAsia="pt-BR"/>
              </w:rPr>
            </w:pPr>
            <w:r w:rsidRPr="008328EC">
              <w:rPr>
                <w:rFonts w:ascii="Calibri" w:eastAsia="Times New Roman" w:hAnsi="Calibri" w:cs="Times New Roman"/>
                <w:color w:val="000000"/>
                <w:sz w:val="22"/>
                <w:lang w:eastAsia="pt-BR"/>
              </w:rPr>
              <w:t>4</w:t>
            </w:r>
          </w:p>
        </w:tc>
        <w:tc>
          <w:tcPr>
            <w:tcW w:w="1096" w:type="dxa"/>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3.382,38</w:t>
            </w:r>
          </w:p>
        </w:tc>
        <w:tc>
          <w:tcPr>
            <w:tcW w:w="1174" w:type="dxa"/>
            <w:gridSpan w:val="2"/>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145,56</w:t>
            </w:r>
          </w:p>
        </w:tc>
        <w:tc>
          <w:tcPr>
            <w:tcW w:w="1307" w:type="dxa"/>
            <w:gridSpan w:val="2"/>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232,01</w:t>
            </w:r>
          </w:p>
        </w:tc>
        <w:tc>
          <w:tcPr>
            <w:tcW w:w="1168" w:type="dxa"/>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3.004,82</w:t>
            </w:r>
          </w:p>
        </w:tc>
        <w:tc>
          <w:tcPr>
            <w:tcW w:w="1291" w:type="dxa"/>
            <w:tcBorders>
              <w:top w:val="nil"/>
              <w:left w:val="nil"/>
              <w:bottom w:val="single" w:sz="4" w:space="0" w:color="auto"/>
              <w:right w:val="nil"/>
            </w:tcBorders>
            <w:shd w:val="clear" w:color="auto" w:fill="auto"/>
            <w:noWrap/>
            <w:vAlign w:val="center"/>
            <w:hideMark/>
          </w:tcPr>
          <w:p w:rsidR="0033264A" w:rsidRPr="009F7E75" w:rsidRDefault="0033264A" w:rsidP="0033264A">
            <w:pPr>
              <w:jc w:val="center"/>
              <w:rPr>
                <w:rFonts w:ascii="Calibri" w:hAnsi="Calibri"/>
                <w:color w:val="FF0000"/>
                <w:sz w:val="22"/>
              </w:rPr>
            </w:pPr>
            <w:r w:rsidRPr="009F7E75">
              <w:rPr>
                <w:rFonts w:ascii="Calibri" w:hAnsi="Calibri"/>
                <w:color w:val="FF0000"/>
                <w:sz w:val="22"/>
              </w:rPr>
              <w:t>-8.671,87</w:t>
            </w:r>
          </w:p>
        </w:tc>
        <w:tc>
          <w:tcPr>
            <w:tcW w:w="1373" w:type="dxa"/>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2.033,78</w:t>
            </w:r>
          </w:p>
        </w:tc>
        <w:tc>
          <w:tcPr>
            <w:tcW w:w="1394" w:type="dxa"/>
            <w:tcBorders>
              <w:top w:val="nil"/>
              <w:left w:val="nil"/>
              <w:bottom w:val="single" w:sz="4" w:space="0" w:color="auto"/>
              <w:right w:val="nil"/>
            </w:tcBorders>
            <w:shd w:val="clear" w:color="auto" w:fill="auto"/>
            <w:noWrap/>
            <w:vAlign w:val="center"/>
            <w:hideMark/>
          </w:tcPr>
          <w:p w:rsidR="0033264A" w:rsidRPr="0033264A" w:rsidRDefault="0033264A" w:rsidP="0033264A">
            <w:pPr>
              <w:jc w:val="center"/>
              <w:rPr>
                <w:rFonts w:ascii="Calibri" w:hAnsi="Calibri"/>
                <w:color w:val="FF0000"/>
                <w:sz w:val="22"/>
              </w:rPr>
            </w:pPr>
            <w:r w:rsidRPr="0033264A">
              <w:rPr>
                <w:rFonts w:ascii="Calibri" w:hAnsi="Calibri"/>
                <w:color w:val="FF0000"/>
                <w:sz w:val="22"/>
              </w:rPr>
              <w:t>-11.099,63</w:t>
            </w:r>
          </w:p>
        </w:tc>
      </w:tr>
      <w:tr w:rsidR="0033264A" w:rsidRPr="008328EC" w:rsidTr="00BD1632">
        <w:trPr>
          <w:trHeight w:val="300"/>
        </w:trPr>
        <w:tc>
          <w:tcPr>
            <w:tcW w:w="529" w:type="dxa"/>
            <w:tcBorders>
              <w:top w:val="nil"/>
              <w:left w:val="nil"/>
              <w:bottom w:val="single" w:sz="4" w:space="0" w:color="auto"/>
              <w:right w:val="nil"/>
            </w:tcBorders>
            <w:shd w:val="clear" w:color="auto" w:fill="auto"/>
            <w:noWrap/>
            <w:vAlign w:val="center"/>
            <w:hideMark/>
          </w:tcPr>
          <w:p w:rsidR="0033264A" w:rsidRPr="008328EC" w:rsidRDefault="0033264A" w:rsidP="0033264A">
            <w:pPr>
              <w:spacing w:after="0" w:line="240" w:lineRule="auto"/>
              <w:contextualSpacing w:val="0"/>
              <w:jc w:val="center"/>
              <w:rPr>
                <w:rFonts w:ascii="Calibri" w:eastAsia="Times New Roman" w:hAnsi="Calibri" w:cs="Times New Roman"/>
                <w:color w:val="000000"/>
                <w:sz w:val="22"/>
                <w:lang w:eastAsia="pt-BR"/>
              </w:rPr>
            </w:pPr>
            <w:r w:rsidRPr="008328EC">
              <w:rPr>
                <w:rFonts w:ascii="Calibri" w:eastAsia="Times New Roman" w:hAnsi="Calibri" w:cs="Times New Roman"/>
                <w:color w:val="000000"/>
                <w:sz w:val="22"/>
                <w:lang w:eastAsia="pt-BR"/>
              </w:rPr>
              <w:t>5</w:t>
            </w:r>
          </w:p>
        </w:tc>
        <w:tc>
          <w:tcPr>
            <w:tcW w:w="1096" w:type="dxa"/>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3.544,74</w:t>
            </w:r>
          </w:p>
        </w:tc>
        <w:tc>
          <w:tcPr>
            <w:tcW w:w="1174" w:type="dxa"/>
            <w:gridSpan w:val="2"/>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153,20</w:t>
            </w:r>
          </w:p>
        </w:tc>
        <w:tc>
          <w:tcPr>
            <w:tcW w:w="1307" w:type="dxa"/>
            <w:gridSpan w:val="2"/>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244,19</w:t>
            </w:r>
          </w:p>
        </w:tc>
        <w:tc>
          <w:tcPr>
            <w:tcW w:w="1168" w:type="dxa"/>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3.147,36</w:t>
            </w:r>
          </w:p>
        </w:tc>
        <w:tc>
          <w:tcPr>
            <w:tcW w:w="1291" w:type="dxa"/>
            <w:tcBorders>
              <w:top w:val="nil"/>
              <w:left w:val="nil"/>
              <w:bottom w:val="single" w:sz="4" w:space="0" w:color="auto"/>
              <w:right w:val="nil"/>
            </w:tcBorders>
            <w:shd w:val="clear" w:color="auto" w:fill="auto"/>
            <w:noWrap/>
            <w:vAlign w:val="center"/>
            <w:hideMark/>
          </w:tcPr>
          <w:p w:rsidR="0033264A" w:rsidRPr="009F7E75" w:rsidRDefault="0033264A" w:rsidP="0033264A">
            <w:pPr>
              <w:jc w:val="center"/>
              <w:rPr>
                <w:rFonts w:ascii="Calibri" w:hAnsi="Calibri"/>
                <w:color w:val="FF0000"/>
                <w:sz w:val="22"/>
              </w:rPr>
            </w:pPr>
            <w:r w:rsidRPr="009F7E75">
              <w:rPr>
                <w:rFonts w:ascii="Calibri" w:hAnsi="Calibri"/>
                <w:color w:val="FF0000"/>
                <w:sz w:val="22"/>
              </w:rPr>
              <w:t>-5.524,51</w:t>
            </w:r>
          </w:p>
        </w:tc>
        <w:tc>
          <w:tcPr>
            <w:tcW w:w="1373" w:type="dxa"/>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1.932,20</w:t>
            </w:r>
          </w:p>
        </w:tc>
        <w:tc>
          <w:tcPr>
            <w:tcW w:w="1394" w:type="dxa"/>
            <w:tcBorders>
              <w:top w:val="nil"/>
              <w:left w:val="nil"/>
              <w:bottom w:val="single" w:sz="4" w:space="0" w:color="auto"/>
              <w:right w:val="nil"/>
            </w:tcBorders>
            <w:shd w:val="clear" w:color="auto" w:fill="auto"/>
            <w:noWrap/>
            <w:vAlign w:val="center"/>
            <w:hideMark/>
          </w:tcPr>
          <w:p w:rsidR="0033264A" w:rsidRPr="0033264A" w:rsidRDefault="0033264A" w:rsidP="0033264A">
            <w:pPr>
              <w:jc w:val="center"/>
              <w:rPr>
                <w:rFonts w:ascii="Calibri" w:hAnsi="Calibri"/>
                <w:color w:val="FF0000"/>
                <w:sz w:val="22"/>
              </w:rPr>
            </w:pPr>
            <w:r w:rsidRPr="0033264A">
              <w:rPr>
                <w:rFonts w:ascii="Calibri" w:hAnsi="Calibri"/>
                <w:color w:val="FF0000"/>
                <w:sz w:val="22"/>
              </w:rPr>
              <w:t>-9.167,43</w:t>
            </w:r>
          </w:p>
        </w:tc>
      </w:tr>
      <w:tr w:rsidR="0033264A" w:rsidRPr="008328EC" w:rsidTr="00BD1632">
        <w:trPr>
          <w:trHeight w:val="300"/>
        </w:trPr>
        <w:tc>
          <w:tcPr>
            <w:tcW w:w="529" w:type="dxa"/>
            <w:tcBorders>
              <w:top w:val="nil"/>
              <w:left w:val="nil"/>
              <w:bottom w:val="single" w:sz="4" w:space="0" w:color="auto"/>
              <w:right w:val="nil"/>
            </w:tcBorders>
            <w:shd w:val="clear" w:color="auto" w:fill="auto"/>
            <w:noWrap/>
            <w:vAlign w:val="center"/>
            <w:hideMark/>
          </w:tcPr>
          <w:p w:rsidR="0033264A" w:rsidRPr="008328EC" w:rsidRDefault="0033264A" w:rsidP="0033264A">
            <w:pPr>
              <w:spacing w:after="0" w:line="240" w:lineRule="auto"/>
              <w:contextualSpacing w:val="0"/>
              <w:jc w:val="center"/>
              <w:rPr>
                <w:rFonts w:ascii="Calibri" w:eastAsia="Times New Roman" w:hAnsi="Calibri" w:cs="Times New Roman"/>
                <w:color w:val="000000"/>
                <w:sz w:val="22"/>
                <w:lang w:eastAsia="pt-BR"/>
              </w:rPr>
            </w:pPr>
            <w:r w:rsidRPr="008328EC">
              <w:rPr>
                <w:rFonts w:ascii="Calibri" w:eastAsia="Times New Roman" w:hAnsi="Calibri" w:cs="Times New Roman"/>
                <w:color w:val="000000"/>
                <w:sz w:val="22"/>
                <w:lang w:eastAsia="pt-BR"/>
              </w:rPr>
              <w:t>6</w:t>
            </w:r>
          </w:p>
        </w:tc>
        <w:tc>
          <w:tcPr>
            <w:tcW w:w="1096" w:type="dxa"/>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3.714,89</w:t>
            </w:r>
          </w:p>
        </w:tc>
        <w:tc>
          <w:tcPr>
            <w:tcW w:w="1174" w:type="dxa"/>
            <w:gridSpan w:val="2"/>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161,24</w:t>
            </w:r>
          </w:p>
        </w:tc>
        <w:tc>
          <w:tcPr>
            <w:tcW w:w="1307" w:type="dxa"/>
            <w:gridSpan w:val="2"/>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257,01</w:t>
            </w:r>
          </w:p>
        </w:tc>
        <w:tc>
          <w:tcPr>
            <w:tcW w:w="1168" w:type="dxa"/>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3.296,64</w:t>
            </w:r>
          </w:p>
        </w:tc>
        <w:tc>
          <w:tcPr>
            <w:tcW w:w="1291" w:type="dxa"/>
            <w:tcBorders>
              <w:top w:val="nil"/>
              <w:left w:val="nil"/>
              <w:bottom w:val="single" w:sz="4" w:space="0" w:color="auto"/>
              <w:right w:val="nil"/>
            </w:tcBorders>
            <w:shd w:val="clear" w:color="auto" w:fill="auto"/>
            <w:noWrap/>
            <w:vAlign w:val="center"/>
            <w:hideMark/>
          </w:tcPr>
          <w:p w:rsidR="0033264A" w:rsidRPr="009F7E75" w:rsidRDefault="0033264A" w:rsidP="0033264A">
            <w:pPr>
              <w:jc w:val="center"/>
              <w:rPr>
                <w:rFonts w:ascii="Calibri" w:hAnsi="Calibri"/>
                <w:color w:val="FF0000"/>
                <w:sz w:val="22"/>
              </w:rPr>
            </w:pPr>
            <w:r w:rsidRPr="009F7E75">
              <w:rPr>
                <w:rFonts w:ascii="Calibri" w:hAnsi="Calibri"/>
                <w:color w:val="FF0000"/>
                <w:sz w:val="22"/>
              </w:rPr>
              <w:t>-2.227,87</w:t>
            </w:r>
          </w:p>
        </w:tc>
        <w:tc>
          <w:tcPr>
            <w:tcW w:w="1373" w:type="dxa"/>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1.835,69</w:t>
            </w:r>
          </w:p>
        </w:tc>
        <w:tc>
          <w:tcPr>
            <w:tcW w:w="1394" w:type="dxa"/>
            <w:tcBorders>
              <w:top w:val="nil"/>
              <w:left w:val="nil"/>
              <w:bottom w:val="single" w:sz="4" w:space="0" w:color="auto"/>
              <w:right w:val="nil"/>
            </w:tcBorders>
            <w:shd w:val="clear" w:color="auto" w:fill="auto"/>
            <w:noWrap/>
            <w:vAlign w:val="center"/>
            <w:hideMark/>
          </w:tcPr>
          <w:p w:rsidR="0033264A" w:rsidRPr="0033264A" w:rsidRDefault="0033264A" w:rsidP="0033264A">
            <w:pPr>
              <w:jc w:val="center"/>
              <w:rPr>
                <w:rFonts w:ascii="Calibri" w:hAnsi="Calibri"/>
                <w:color w:val="FF0000"/>
                <w:sz w:val="22"/>
              </w:rPr>
            </w:pPr>
            <w:r w:rsidRPr="0033264A">
              <w:rPr>
                <w:rFonts w:ascii="Calibri" w:hAnsi="Calibri"/>
                <w:color w:val="FF0000"/>
                <w:sz w:val="22"/>
              </w:rPr>
              <w:t>-7.331,74</w:t>
            </w:r>
          </w:p>
        </w:tc>
      </w:tr>
      <w:tr w:rsidR="0033264A" w:rsidRPr="008328EC" w:rsidTr="00BD1632">
        <w:trPr>
          <w:trHeight w:val="300"/>
        </w:trPr>
        <w:tc>
          <w:tcPr>
            <w:tcW w:w="529" w:type="dxa"/>
            <w:tcBorders>
              <w:top w:val="nil"/>
              <w:left w:val="nil"/>
              <w:bottom w:val="single" w:sz="4" w:space="0" w:color="auto"/>
              <w:right w:val="nil"/>
            </w:tcBorders>
            <w:shd w:val="clear" w:color="auto" w:fill="auto"/>
            <w:noWrap/>
            <w:vAlign w:val="center"/>
            <w:hideMark/>
          </w:tcPr>
          <w:p w:rsidR="0033264A" w:rsidRPr="008328EC" w:rsidRDefault="0033264A" w:rsidP="0033264A">
            <w:pPr>
              <w:spacing w:after="0" w:line="240" w:lineRule="auto"/>
              <w:contextualSpacing w:val="0"/>
              <w:jc w:val="center"/>
              <w:rPr>
                <w:rFonts w:ascii="Calibri" w:eastAsia="Times New Roman" w:hAnsi="Calibri" w:cs="Times New Roman"/>
                <w:color w:val="000000"/>
                <w:sz w:val="22"/>
                <w:lang w:eastAsia="pt-BR"/>
              </w:rPr>
            </w:pPr>
            <w:r w:rsidRPr="008328EC">
              <w:rPr>
                <w:rFonts w:ascii="Calibri" w:eastAsia="Times New Roman" w:hAnsi="Calibri" w:cs="Times New Roman"/>
                <w:color w:val="000000"/>
                <w:sz w:val="22"/>
                <w:lang w:eastAsia="pt-BR"/>
              </w:rPr>
              <w:t>7</w:t>
            </w:r>
          </w:p>
        </w:tc>
        <w:tc>
          <w:tcPr>
            <w:tcW w:w="1096" w:type="dxa"/>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3.893,20</w:t>
            </w:r>
          </w:p>
        </w:tc>
        <w:tc>
          <w:tcPr>
            <w:tcW w:w="1174" w:type="dxa"/>
            <w:gridSpan w:val="2"/>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169,71</w:t>
            </w:r>
          </w:p>
        </w:tc>
        <w:tc>
          <w:tcPr>
            <w:tcW w:w="1307" w:type="dxa"/>
            <w:gridSpan w:val="2"/>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270,50</w:t>
            </w:r>
          </w:p>
        </w:tc>
        <w:tc>
          <w:tcPr>
            <w:tcW w:w="1168" w:type="dxa"/>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3.453,00</w:t>
            </w:r>
          </w:p>
        </w:tc>
        <w:tc>
          <w:tcPr>
            <w:tcW w:w="1291" w:type="dxa"/>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1.225,12</w:t>
            </w:r>
          </w:p>
        </w:tc>
        <w:tc>
          <w:tcPr>
            <w:tcW w:w="1373" w:type="dxa"/>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1.744,00</w:t>
            </w:r>
          </w:p>
        </w:tc>
        <w:tc>
          <w:tcPr>
            <w:tcW w:w="1394" w:type="dxa"/>
            <w:tcBorders>
              <w:top w:val="nil"/>
              <w:left w:val="nil"/>
              <w:bottom w:val="single" w:sz="4" w:space="0" w:color="auto"/>
              <w:right w:val="nil"/>
            </w:tcBorders>
            <w:shd w:val="clear" w:color="auto" w:fill="auto"/>
            <w:noWrap/>
            <w:vAlign w:val="center"/>
            <w:hideMark/>
          </w:tcPr>
          <w:p w:rsidR="0033264A" w:rsidRPr="0033264A" w:rsidRDefault="0033264A" w:rsidP="0033264A">
            <w:pPr>
              <w:jc w:val="center"/>
              <w:rPr>
                <w:rFonts w:ascii="Calibri" w:hAnsi="Calibri"/>
                <w:color w:val="FF0000"/>
                <w:sz w:val="22"/>
              </w:rPr>
            </w:pPr>
            <w:r w:rsidRPr="0033264A">
              <w:rPr>
                <w:rFonts w:ascii="Calibri" w:hAnsi="Calibri"/>
                <w:color w:val="FF0000"/>
                <w:sz w:val="22"/>
              </w:rPr>
              <w:t>-5.587,74</w:t>
            </w:r>
          </w:p>
        </w:tc>
      </w:tr>
      <w:tr w:rsidR="0033264A" w:rsidRPr="008328EC" w:rsidTr="00BD1632">
        <w:trPr>
          <w:trHeight w:val="300"/>
        </w:trPr>
        <w:tc>
          <w:tcPr>
            <w:tcW w:w="529" w:type="dxa"/>
            <w:tcBorders>
              <w:top w:val="nil"/>
              <w:left w:val="nil"/>
              <w:bottom w:val="single" w:sz="4" w:space="0" w:color="auto"/>
              <w:right w:val="nil"/>
            </w:tcBorders>
            <w:shd w:val="clear" w:color="auto" w:fill="auto"/>
            <w:noWrap/>
            <w:vAlign w:val="center"/>
            <w:hideMark/>
          </w:tcPr>
          <w:p w:rsidR="0033264A" w:rsidRPr="008328EC" w:rsidRDefault="0033264A" w:rsidP="0033264A">
            <w:pPr>
              <w:spacing w:after="0" w:line="240" w:lineRule="auto"/>
              <w:contextualSpacing w:val="0"/>
              <w:jc w:val="center"/>
              <w:rPr>
                <w:rFonts w:ascii="Calibri" w:eastAsia="Times New Roman" w:hAnsi="Calibri" w:cs="Times New Roman"/>
                <w:color w:val="000000"/>
                <w:sz w:val="22"/>
                <w:lang w:eastAsia="pt-BR"/>
              </w:rPr>
            </w:pPr>
            <w:r w:rsidRPr="008328EC">
              <w:rPr>
                <w:rFonts w:ascii="Calibri" w:eastAsia="Times New Roman" w:hAnsi="Calibri" w:cs="Times New Roman"/>
                <w:color w:val="000000"/>
                <w:sz w:val="22"/>
                <w:lang w:eastAsia="pt-BR"/>
              </w:rPr>
              <w:t>8</w:t>
            </w:r>
          </w:p>
        </w:tc>
        <w:tc>
          <w:tcPr>
            <w:tcW w:w="1096" w:type="dxa"/>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4.080,07</w:t>
            </w:r>
          </w:p>
        </w:tc>
        <w:tc>
          <w:tcPr>
            <w:tcW w:w="1174" w:type="dxa"/>
            <w:gridSpan w:val="2"/>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178,61</w:t>
            </w:r>
          </w:p>
        </w:tc>
        <w:tc>
          <w:tcPr>
            <w:tcW w:w="1307" w:type="dxa"/>
            <w:gridSpan w:val="2"/>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284,70</w:t>
            </w:r>
          </w:p>
        </w:tc>
        <w:tc>
          <w:tcPr>
            <w:tcW w:w="1168" w:type="dxa"/>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3.616,76</w:t>
            </w:r>
          </w:p>
        </w:tc>
        <w:tc>
          <w:tcPr>
            <w:tcW w:w="1291" w:type="dxa"/>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4.841,89</w:t>
            </w:r>
          </w:p>
        </w:tc>
        <w:tc>
          <w:tcPr>
            <w:tcW w:w="1373" w:type="dxa"/>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1.656,88</w:t>
            </w:r>
          </w:p>
        </w:tc>
        <w:tc>
          <w:tcPr>
            <w:tcW w:w="1394" w:type="dxa"/>
            <w:tcBorders>
              <w:top w:val="nil"/>
              <w:left w:val="nil"/>
              <w:bottom w:val="single" w:sz="4" w:space="0" w:color="auto"/>
              <w:right w:val="nil"/>
            </w:tcBorders>
            <w:shd w:val="clear" w:color="auto" w:fill="auto"/>
            <w:noWrap/>
            <w:vAlign w:val="center"/>
            <w:hideMark/>
          </w:tcPr>
          <w:p w:rsidR="0033264A" w:rsidRPr="0033264A" w:rsidRDefault="0033264A" w:rsidP="0033264A">
            <w:pPr>
              <w:jc w:val="center"/>
              <w:rPr>
                <w:rFonts w:ascii="Calibri" w:hAnsi="Calibri"/>
                <w:color w:val="FF0000"/>
                <w:sz w:val="22"/>
              </w:rPr>
            </w:pPr>
            <w:r w:rsidRPr="0033264A">
              <w:rPr>
                <w:rFonts w:ascii="Calibri" w:hAnsi="Calibri"/>
                <w:color w:val="FF0000"/>
                <w:sz w:val="22"/>
              </w:rPr>
              <w:t>-3.930,86</w:t>
            </w:r>
          </w:p>
        </w:tc>
      </w:tr>
      <w:tr w:rsidR="0033264A" w:rsidRPr="008328EC" w:rsidTr="00BD1632">
        <w:trPr>
          <w:trHeight w:val="300"/>
        </w:trPr>
        <w:tc>
          <w:tcPr>
            <w:tcW w:w="529" w:type="dxa"/>
            <w:tcBorders>
              <w:top w:val="nil"/>
              <w:left w:val="nil"/>
              <w:bottom w:val="single" w:sz="4" w:space="0" w:color="auto"/>
              <w:right w:val="nil"/>
            </w:tcBorders>
            <w:shd w:val="clear" w:color="auto" w:fill="auto"/>
            <w:noWrap/>
            <w:vAlign w:val="center"/>
            <w:hideMark/>
          </w:tcPr>
          <w:p w:rsidR="0033264A" w:rsidRPr="008328EC" w:rsidRDefault="0033264A" w:rsidP="0033264A">
            <w:pPr>
              <w:spacing w:after="0" w:line="240" w:lineRule="auto"/>
              <w:contextualSpacing w:val="0"/>
              <w:jc w:val="center"/>
              <w:rPr>
                <w:rFonts w:ascii="Calibri" w:eastAsia="Times New Roman" w:hAnsi="Calibri" w:cs="Times New Roman"/>
                <w:color w:val="000000"/>
                <w:sz w:val="22"/>
                <w:lang w:eastAsia="pt-BR"/>
              </w:rPr>
            </w:pPr>
            <w:r w:rsidRPr="008328EC">
              <w:rPr>
                <w:rFonts w:ascii="Calibri" w:eastAsia="Times New Roman" w:hAnsi="Calibri" w:cs="Times New Roman"/>
                <w:color w:val="000000"/>
                <w:sz w:val="22"/>
                <w:lang w:eastAsia="pt-BR"/>
              </w:rPr>
              <w:t>9</w:t>
            </w:r>
          </w:p>
        </w:tc>
        <w:tc>
          <w:tcPr>
            <w:tcW w:w="1096" w:type="dxa"/>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4.275,92</w:t>
            </w:r>
          </w:p>
        </w:tc>
        <w:tc>
          <w:tcPr>
            <w:tcW w:w="1174" w:type="dxa"/>
            <w:gridSpan w:val="2"/>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187,99</w:t>
            </w:r>
          </w:p>
        </w:tc>
        <w:tc>
          <w:tcPr>
            <w:tcW w:w="1307" w:type="dxa"/>
            <w:gridSpan w:val="2"/>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299,65</w:t>
            </w:r>
          </w:p>
        </w:tc>
        <w:tc>
          <w:tcPr>
            <w:tcW w:w="1168" w:type="dxa"/>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3.788,28</w:t>
            </w:r>
          </w:p>
        </w:tc>
        <w:tc>
          <w:tcPr>
            <w:tcW w:w="1291" w:type="dxa"/>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8.630,17</w:t>
            </w:r>
          </w:p>
        </w:tc>
        <w:tc>
          <w:tcPr>
            <w:tcW w:w="1373" w:type="dxa"/>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1.574,11</w:t>
            </w:r>
          </w:p>
        </w:tc>
        <w:tc>
          <w:tcPr>
            <w:tcW w:w="1394" w:type="dxa"/>
            <w:tcBorders>
              <w:top w:val="nil"/>
              <w:left w:val="nil"/>
              <w:bottom w:val="single" w:sz="4" w:space="0" w:color="auto"/>
              <w:right w:val="nil"/>
            </w:tcBorders>
            <w:shd w:val="clear" w:color="auto" w:fill="auto"/>
            <w:noWrap/>
            <w:vAlign w:val="center"/>
            <w:hideMark/>
          </w:tcPr>
          <w:p w:rsidR="0033264A" w:rsidRPr="0033264A" w:rsidRDefault="0033264A" w:rsidP="0033264A">
            <w:pPr>
              <w:jc w:val="center"/>
              <w:rPr>
                <w:rFonts w:ascii="Calibri" w:hAnsi="Calibri"/>
                <w:color w:val="FF0000"/>
                <w:sz w:val="22"/>
              </w:rPr>
            </w:pPr>
            <w:r w:rsidRPr="0033264A">
              <w:rPr>
                <w:rFonts w:ascii="Calibri" w:hAnsi="Calibri"/>
                <w:color w:val="FF0000"/>
                <w:sz w:val="22"/>
              </w:rPr>
              <w:t>-2.356,75</w:t>
            </w:r>
          </w:p>
        </w:tc>
      </w:tr>
      <w:tr w:rsidR="0033264A" w:rsidRPr="008328EC" w:rsidTr="00BD1632">
        <w:trPr>
          <w:trHeight w:val="300"/>
        </w:trPr>
        <w:tc>
          <w:tcPr>
            <w:tcW w:w="529" w:type="dxa"/>
            <w:tcBorders>
              <w:top w:val="nil"/>
              <w:left w:val="nil"/>
              <w:bottom w:val="single" w:sz="4" w:space="0" w:color="auto"/>
              <w:right w:val="nil"/>
            </w:tcBorders>
            <w:shd w:val="clear" w:color="auto" w:fill="auto"/>
            <w:noWrap/>
            <w:vAlign w:val="center"/>
            <w:hideMark/>
          </w:tcPr>
          <w:p w:rsidR="0033264A" w:rsidRPr="008328EC" w:rsidRDefault="0033264A" w:rsidP="0033264A">
            <w:pPr>
              <w:spacing w:after="0" w:line="240" w:lineRule="auto"/>
              <w:contextualSpacing w:val="0"/>
              <w:jc w:val="center"/>
              <w:rPr>
                <w:rFonts w:ascii="Calibri" w:eastAsia="Times New Roman" w:hAnsi="Calibri" w:cs="Times New Roman"/>
                <w:color w:val="000000"/>
                <w:sz w:val="22"/>
                <w:lang w:eastAsia="pt-BR"/>
              </w:rPr>
            </w:pPr>
            <w:r w:rsidRPr="008328EC">
              <w:rPr>
                <w:rFonts w:ascii="Calibri" w:eastAsia="Times New Roman" w:hAnsi="Calibri" w:cs="Times New Roman"/>
                <w:color w:val="000000"/>
                <w:sz w:val="22"/>
                <w:lang w:eastAsia="pt-BR"/>
              </w:rPr>
              <w:t>10</w:t>
            </w:r>
          </w:p>
        </w:tc>
        <w:tc>
          <w:tcPr>
            <w:tcW w:w="1096" w:type="dxa"/>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4.481,16</w:t>
            </w:r>
          </w:p>
        </w:tc>
        <w:tc>
          <w:tcPr>
            <w:tcW w:w="1174" w:type="dxa"/>
            <w:gridSpan w:val="2"/>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197,86</w:t>
            </w:r>
          </w:p>
        </w:tc>
        <w:tc>
          <w:tcPr>
            <w:tcW w:w="1307" w:type="dxa"/>
            <w:gridSpan w:val="2"/>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315,38</w:t>
            </w:r>
          </w:p>
        </w:tc>
        <w:tc>
          <w:tcPr>
            <w:tcW w:w="1168" w:type="dxa"/>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3.967,92</w:t>
            </w:r>
          </w:p>
        </w:tc>
        <w:tc>
          <w:tcPr>
            <w:tcW w:w="1291" w:type="dxa"/>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12.598,09</w:t>
            </w:r>
          </w:p>
        </w:tc>
        <w:tc>
          <w:tcPr>
            <w:tcW w:w="1373" w:type="dxa"/>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1.495,47</w:t>
            </w:r>
          </w:p>
        </w:tc>
        <w:tc>
          <w:tcPr>
            <w:tcW w:w="1394" w:type="dxa"/>
            <w:tcBorders>
              <w:top w:val="nil"/>
              <w:left w:val="nil"/>
              <w:bottom w:val="single" w:sz="4" w:space="0" w:color="auto"/>
              <w:right w:val="nil"/>
            </w:tcBorders>
            <w:shd w:val="clear" w:color="auto" w:fill="auto"/>
            <w:noWrap/>
            <w:vAlign w:val="center"/>
            <w:hideMark/>
          </w:tcPr>
          <w:p w:rsidR="0033264A" w:rsidRPr="0033264A" w:rsidRDefault="0033264A" w:rsidP="0033264A">
            <w:pPr>
              <w:jc w:val="center"/>
              <w:rPr>
                <w:rFonts w:ascii="Calibri" w:hAnsi="Calibri"/>
                <w:color w:val="FF0000"/>
                <w:sz w:val="22"/>
              </w:rPr>
            </w:pPr>
            <w:r w:rsidRPr="0033264A">
              <w:rPr>
                <w:rFonts w:ascii="Calibri" w:hAnsi="Calibri"/>
                <w:color w:val="FF0000"/>
                <w:sz w:val="22"/>
              </w:rPr>
              <w:t>-861,28</w:t>
            </w:r>
          </w:p>
        </w:tc>
      </w:tr>
      <w:tr w:rsidR="0033264A" w:rsidRPr="008328EC" w:rsidTr="00BD1632">
        <w:trPr>
          <w:trHeight w:val="300"/>
        </w:trPr>
        <w:tc>
          <w:tcPr>
            <w:tcW w:w="529" w:type="dxa"/>
            <w:tcBorders>
              <w:top w:val="nil"/>
              <w:left w:val="nil"/>
              <w:bottom w:val="single" w:sz="4" w:space="0" w:color="auto"/>
              <w:right w:val="nil"/>
            </w:tcBorders>
            <w:shd w:val="clear" w:color="auto" w:fill="auto"/>
            <w:noWrap/>
            <w:vAlign w:val="center"/>
            <w:hideMark/>
          </w:tcPr>
          <w:p w:rsidR="0033264A" w:rsidRPr="008328EC" w:rsidRDefault="0033264A" w:rsidP="0033264A">
            <w:pPr>
              <w:spacing w:after="0" w:line="240" w:lineRule="auto"/>
              <w:contextualSpacing w:val="0"/>
              <w:jc w:val="center"/>
              <w:rPr>
                <w:rFonts w:ascii="Calibri" w:eastAsia="Times New Roman" w:hAnsi="Calibri" w:cs="Times New Roman"/>
                <w:color w:val="000000"/>
                <w:sz w:val="22"/>
                <w:lang w:eastAsia="pt-BR"/>
              </w:rPr>
            </w:pPr>
            <w:r w:rsidRPr="008328EC">
              <w:rPr>
                <w:rFonts w:ascii="Calibri" w:eastAsia="Times New Roman" w:hAnsi="Calibri" w:cs="Times New Roman"/>
                <w:color w:val="000000"/>
                <w:sz w:val="22"/>
                <w:lang w:eastAsia="pt-BR"/>
              </w:rPr>
              <w:t>11</w:t>
            </w:r>
          </w:p>
        </w:tc>
        <w:tc>
          <w:tcPr>
            <w:tcW w:w="1096" w:type="dxa"/>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4.696,26</w:t>
            </w:r>
          </w:p>
        </w:tc>
        <w:tc>
          <w:tcPr>
            <w:tcW w:w="1174" w:type="dxa"/>
            <w:gridSpan w:val="2"/>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208,25</w:t>
            </w:r>
          </w:p>
        </w:tc>
        <w:tc>
          <w:tcPr>
            <w:tcW w:w="1307" w:type="dxa"/>
            <w:gridSpan w:val="2"/>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331,93</w:t>
            </w:r>
          </w:p>
        </w:tc>
        <w:tc>
          <w:tcPr>
            <w:tcW w:w="1168" w:type="dxa"/>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4.156,07</w:t>
            </w:r>
          </w:p>
        </w:tc>
        <w:tc>
          <w:tcPr>
            <w:tcW w:w="1291" w:type="dxa"/>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16.754,16</w:t>
            </w:r>
          </w:p>
        </w:tc>
        <w:tc>
          <w:tcPr>
            <w:tcW w:w="1373" w:type="dxa"/>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1.420,75</w:t>
            </w:r>
          </w:p>
        </w:tc>
        <w:tc>
          <w:tcPr>
            <w:tcW w:w="1394" w:type="dxa"/>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559,47</w:t>
            </w:r>
          </w:p>
        </w:tc>
      </w:tr>
      <w:tr w:rsidR="006B3ECB" w:rsidRPr="008328EC" w:rsidTr="00BD1632">
        <w:trPr>
          <w:trHeight w:val="300"/>
        </w:trPr>
        <w:tc>
          <w:tcPr>
            <w:tcW w:w="529" w:type="dxa"/>
            <w:tcBorders>
              <w:top w:val="nil"/>
              <w:left w:val="nil"/>
              <w:bottom w:val="single" w:sz="4" w:space="0" w:color="auto"/>
              <w:right w:val="nil"/>
            </w:tcBorders>
            <w:shd w:val="clear" w:color="auto" w:fill="auto"/>
            <w:noWrap/>
            <w:vAlign w:val="center"/>
          </w:tcPr>
          <w:p w:rsidR="006B3ECB" w:rsidRDefault="006B3ECB" w:rsidP="006B3ECB">
            <w:pPr>
              <w:spacing w:after="0" w:line="240" w:lineRule="auto"/>
              <w:contextualSpacing w:val="0"/>
              <w:jc w:val="center"/>
              <w:rPr>
                <w:rFonts w:ascii="Calibri" w:hAnsi="Calibri"/>
                <w:color w:val="000000"/>
                <w:sz w:val="22"/>
              </w:rPr>
            </w:pPr>
            <w:r>
              <w:rPr>
                <w:rFonts w:ascii="Calibri" w:hAnsi="Calibri"/>
                <w:color w:val="000000"/>
                <w:sz w:val="22"/>
              </w:rPr>
              <w:t>12</w:t>
            </w:r>
          </w:p>
        </w:tc>
        <w:tc>
          <w:tcPr>
            <w:tcW w:w="1096" w:type="dxa"/>
            <w:tcBorders>
              <w:top w:val="nil"/>
              <w:left w:val="nil"/>
              <w:bottom w:val="single" w:sz="4" w:space="0" w:color="auto"/>
              <w:right w:val="nil"/>
            </w:tcBorders>
            <w:shd w:val="clear" w:color="auto" w:fill="auto"/>
            <w:noWrap/>
            <w:vAlign w:val="center"/>
          </w:tcPr>
          <w:p w:rsidR="006B3ECB" w:rsidRDefault="006B3ECB" w:rsidP="006B3ECB">
            <w:pPr>
              <w:jc w:val="center"/>
              <w:rPr>
                <w:rFonts w:ascii="Calibri" w:hAnsi="Calibri"/>
                <w:color w:val="000000"/>
                <w:sz w:val="22"/>
              </w:rPr>
            </w:pPr>
            <w:r>
              <w:rPr>
                <w:rFonts w:ascii="Calibri" w:hAnsi="Calibri"/>
                <w:color w:val="000000"/>
                <w:sz w:val="22"/>
              </w:rPr>
              <w:t>4.921,68</w:t>
            </w:r>
          </w:p>
        </w:tc>
        <w:tc>
          <w:tcPr>
            <w:tcW w:w="1174" w:type="dxa"/>
            <w:gridSpan w:val="2"/>
            <w:tcBorders>
              <w:top w:val="nil"/>
              <w:left w:val="nil"/>
              <w:bottom w:val="single" w:sz="4" w:space="0" w:color="auto"/>
              <w:right w:val="nil"/>
            </w:tcBorders>
            <w:shd w:val="clear" w:color="auto" w:fill="auto"/>
            <w:noWrap/>
            <w:vAlign w:val="center"/>
          </w:tcPr>
          <w:p w:rsidR="006B3ECB" w:rsidRDefault="006B3ECB" w:rsidP="006B3ECB">
            <w:pPr>
              <w:jc w:val="center"/>
              <w:rPr>
                <w:rFonts w:ascii="Calibri" w:hAnsi="Calibri"/>
                <w:color w:val="000000"/>
                <w:sz w:val="22"/>
              </w:rPr>
            </w:pPr>
            <w:r>
              <w:rPr>
                <w:rFonts w:ascii="Calibri" w:hAnsi="Calibri"/>
                <w:color w:val="000000"/>
                <w:sz w:val="22"/>
              </w:rPr>
              <w:t>219,18</w:t>
            </w:r>
          </w:p>
        </w:tc>
        <w:tc>
          <w:tcPr>
            <w:tcW w:w="1307" w:type="dxa"/>
            <w:gridSpan w:val="2"/>
            <w:tcBorders>
              <w:top w:val="nil"/>
              <w:left w:val="nil"/>
              <w:bottom w:val="single" w:sz="4" w:space="0" w:color="auto"/>
              <w:right w:val="nil"/>
            </w:tcBorders>
            <w:shd w:val="clear" w:color="auto" w:fill="auto"/>
            <w:noWrap/>
            <w:vAlign w:val="center"/>
          </w:tcPr>
          <w:p w:rsidR="006B3ECB" w:rsidRDefault="006B3ECB" w:rsidP="006B3ECB">
            <w:pPr>
              <w:jc w:val="center"/>
              <w:rPr>
                <w:rFonts w:ascii="Calibri" w:hAnsi="Calibri"/>
                <w:color w:val="000000"/>
                <w:sz w:val="22"/>
              </w:rPr>
            </w:pPr>
            <w:r>
              <w:rPr>
                <w:rFonts w:ascii="Calibri" w:hAnsi="Calibri"/>
                <w:color w:val="000000"/>
                <w:sz w:val="22"/>
              </w:rPr>
              <w:t>349,36</w:t>
            </w:r>
          </w:p>
        </w:tc>
        <w:tc>
          <w:tcPr>
            <w:tcW w:w="1168" w:type="dxa"/>
            <w:tcBorders>
              <w:top w:val="nil"/>
              <w:left w:val="nil"/>
              <w:bottom w:val="single" w:sz="4" w:space="0" w:color="auto"/>
              <w:right w:val="nil"/>
            </w:tcBorders>
            <w:shd w:val="clear" w:color="auto" w:fill="auto"/>
            <w:noWrap/>
            <w:vAlign w:val="center"/>
          </w:tcPr>
          <w:p w:rsidR="006B3ECB" w:rsidRDefault="006B3ECB" w:rsidP="006B3ECB">
            <w:pPr>
              <w:jc w:val="center"/>
              <w:rPr>
                <w:rFonts w:ascii="Calibri" w:hAnsi="Calibri"/>
                <w:color w:val="000000"/>
                <w:sz w:val="22"/>
              </w:rPr>
            </w:pPr>
            <w:r>
              <w:rPr>
                <w:rFonts w:ascii="Calibri" w:hAnsi="Calibri"/>
                <w:color w:val="000000"/>
                <w:sz w:val="22"/>
              </w:rPr>
              <w:t>4.353,13</w:t>
            </w:r>
          </w:p>
        </w:tc>
        <w:tc>
          <w:tcPr>
            <w:tcW w:w="1291" w:type="dxa"/>
            <w:tcBorders>
              <w:top w:val="nil"/>
              <w:left w:val="nil"/>
              <w:bottom w:val="single" w:sz="4" w:space="0" w:color="auto"/>
              <w:right w:val="nil"/>
            </w:tcBorders>
            <w:shd w:val="clear" w:color="auto" w:fill="auto"/>
            <w:noWrap/>
            <w:vAlign w:val="center"/>
          </w:tcPr>
          <w:p w:rsidR="006B3ECB" w:rsidRDefault="006B3ECB" w:rsidP="006B3ECB">
            <w:pPr>
              <w:jc w:val="center"/>
              <w:rPr>
                <w:rFonts w:ascii="Calibri" w:hAnsi="Calibri"/>
                <w:color w:val="000000"/>
                <w:sz w:val="22"/>
              </w:rPr>
            </w:pPr>
            <w:r>
              <w:rPr>
                <w:rFonts w:ascii="Calibri" w:hAnsi="Calibri"/>
                <w:color w:val="000000"/>
                <w:sz w:val="22"/>
              </w:rPr>
              <w:t>21.107,30</w:t>
            </w:r>
          </w:p>
        </w:tc>
        <w:tc>
          <w:tcPr>
            <w:tcW w:w="1373" w:type="dxa"/>
            <w:tcBorders>
              <w:top w:val="nil"/>
              <w:left w:val="nil"/>
              <w:bottom w:val="single" w:sz="4" w:space="0" w:color="auto"/>
              <w:right w:val="nil"/>
            </w:tcBorders>
            <w:shd w:val="clear" w:color="auto" w:fill="auto"/>
            <w:noWrap/>
            <w:vAlign w:val="center"/>
          </w:tcPr>
          <w:p w:rsidR="006B3ECB" w:rsidRDefault="006B3ECB" w:rsidP="006B3ECB">
            <w:pPr>
              <w:jc w:val="center"/>
              <w:rPr>
                <w:rFonts w:ascii="Calibri" w:hAnsi="Calibri"/>
                <w:color w:val="000000"/>
                <w:sz w:val="22"/>
              </w:rPr>
            </w:pPr>
            <w:r>
              <w:rPr>
                <w:rFonts w:ascii="Calibri" w:hAnsi="Calibri"/>
                <w:color w:val="000000"/>
                <w:sz w:val="22"/>
              </w:rPr>
              <w:t>1.349,77</w:t>
            </w:r>
          </w:p>
        </w:tc>
        <w:tc>
          <w:tcPr>
            <w:tcW w:w="1394" w:type="dxa"/>
            <w:tcBorders>
              <w:top w:val="nil"/>
              <w:left w:val="nil"/>
              <w:bottom w:val="single" w:sz="4" w:space="0" w:color="auto"/>
              <w:right w:val="nil"/>
            </w:tcBorders>
            <w:shd w:val="clear" w:color="auto" w:fill="auto"/>
            <w:noWrap/>
            <w:vAlign w:val="center"/>
          </w:tcPr>
          <w:p w:rsidR="006B3ECB" w:rsidRDefault="006B3ECB" w:rsidP="006B3ECB">
            <w:pPr>
              <w:jc w:val="center"/>
              <w:rPr>
                <w:rFonts w:ascii="Calibri" w:hAnsi="Calibri"/>
                <w:color w:val="000000"/>
                <w:sz w:val="22"/>
              </w:rPr>
            </w:pPr>
            <w:r>
              <w:rPr>
                <w:rFonts w:ascii="Calibri" w:hAnsi="Calibri"/>
                <w:color w:val="000000"/>
                <w:sz w:val="22"/>
              </w:rPr>
              <w:t>1.909,24</w:t>
            </w:r>
          </w:p>
        </w:tc>
      </w:tr>
      <w:tr w:rsidR="006B3ECB" w:rsidRPr="008328EC" w:rsidTr="00BD1632">
        <w:trPr>
          <w:trHeight w:val="300"/>
        </w:trPr>
        <w:tc>
          <w:tcPr>
            <w:tcW w:w="529" w:type="dxa"/>
            <w:tcBorders>
              <w:top w:val="nil"/>
              <w:left w:val="nil"/>
              <w:bottom w:val="single" w:sz="4" w:space="0" w:color="auto"/>
              <w:right w:val="nil"/>
            </w:tcBorders>
            <w:shd w:val="clear" w:color="auto" w:fill="auto"/>
            <w:noWrap/>
            <w:vAlign w:val="center"/>
          </w:tcPr>
          <w:p w:rsidR="006B3ECB" w:rsidRDefault="006B3ECB" w:rsidP="006B3ECB">
            <w:pPr>
              <w:jc w:val="center"/>
              <w:rPr>
                <w:rFonts w:ascii="Calibri" w:hAnsi="Calibri"/>
                <w:color w:val="000000"/>
                <w:sz w:val="22"/>
              </w:rPr>
            </w:pPr>
            <w:r>
              <w:rPr>
                <w:rFonts w:ascii="Calibri" w:hAnsi="Calibri"/>
                <w:color w:val="000000"/>
                <w:sz w:val="22"/>
              </w:rPr>
              <w:t>13</w:t>
            </w:r>
          </w:p>
        </w:tc>
        <w:tc>
          <w:tcPr>
            <w:tcW w:w="1096" w:type="dxa"/>
            <w:tcBorders>
              <w:top w:val="nil"/>
              <w:left w:val="nil"/>
              <w:bottom w:val="single" w:sz="4" w:space="0" w:color="auto"/>
              <w:right w:val="nil"/>
            </w:tcBorders>
            <w:shd w:val="clear" w:color="auto" w:fill="auto"/>
            <w:noWrap/>
            <w:vAlign w:val="center"/>
          </w:tcPr>
          <w:p w:rsidR="006B3ECB" w:rsidRDefault="006B3ECB" w:rsidP="006B3ECB">
            <w:pPr>
              <w:jc w:val="center"/>
              <w:rPr>
                <w:rFonts w:ascii="Calibri" w:hAnsi="Calibri"/>
                <w:color w:val="000000"/>
                <w:sz w:val="22"/>
              </w:rPr>
            </w:pPr>
            <w:r>
              <w:rPr>
                <w:rFonts w:ascii="Calibri" w:hAnsi="Calibri"/>
                <w:color w:val="000000"/>
                <w:sz w:val="22"/>
              </w:rPr>
              <w:t>5.157,92</w:t>
            </w:r>
          </w:p>
        </w:tc>
        <w:tc>
          <w:tcPr>
            <w:tcW w:w="1174" w:type="dxa"/>
            <w:gridSpan w:val="2"/>
            <w:tcBorders>
              <w:top w:val="nil"/>
              <w:left w:val="nil"/>
              <w:bottom w:val="single" w:sz="4" w:space="0" w:color="auto"/>
              <w:right w:val="nil"/>
            </w:tcBorders>
            <w:shd w:val="clear" w:color="auto" w:fill="auto"/>
            <w:noWrap/>
            <w:vAlign w:val="center"/>
          </w:tcPr>
          <w:p w:rsidR="006B3ECB" w:rsidRDefault="006B3ECB" w:rsidP="006B3ECB">
            <w:pPr>
              <w:jc w:val="center"/>
              <w:rPr>
                <w:rFonts w:ascii="Calibri" w:hAnsi="Calibri"/>
                <w:color w:val="000000"/>
                <w:sz w:val="22"/>
              </w:rPr>
            </w:pPr>
            <w:r>
              <w:rPr>
                <w:rFonts w:ascii="Calibri" w:hAnsi="Calibri"/>
                <w:color w:val="000000"/>
                <w:sz w:val="22"/>
              </w:rPr>
              <w:t>230,69</w:t>
            </w:r>
          </w:p>
        </w:tc>
        <w:tc>
          <w:tcPr>
            <w:tcW w:w="1307" w:type="dxa"/>
            <w:gridSpan w:val="2"/>
            <w:tcBorders>
              <w:top w:val="nil"/>
              <w:left w:val="nil"/>
              <w:bottom w:val="single" w:sz="4" w:space="0" w:color="auto"/>
              <w:right w:val="nil"/>
            </w:tcBorders>
            <w:shd w:val="clear" w:color="auto" w:fill="auto"/>
            <w:noWrap/>
            <w:vAlign w:val="center"/>
          </w:tcPr>
          <w:p w:rsidR="006B3ECB" w:rsidRDefault="006B3ECB" w:rsidP="006B3ECB">
            <w:pPr>
              <w:jc w:val="center"/>
              <w:rPr>
                <w:rFonts w:ascii="Calibri" w:hAnsi="Calibri"/>
                <w:color w:val="000000"/>
                <w:sz w:val="22"/>
              </w:rPr>
            </w:pPr>
            <w:r>
              <w:rPr>
                <w:rFonts w:ascii="Calibri" w:hAnsi="Calibri"/>
                <w:color w:val="000000"/>
                <w:sz w:val="22"/>
              </w:rPr>
              <w:t>367,70</w:t>
            </w:r>
          </w:p>
        </w:tc>
        <w:tc>
          <w:tcPr>
            <w:tcW w:w="1168" w:type="dxa"/>
            <w:tcBorders>
              <w:top w:val="nil"/>
              <w:left w:val="nil"/>
              <w:bottom w:val="single" w:sz="4" w:space="0" w:color="auto"/>
              <w:right w:val="nil"/>
            </w:tcBorders>
            <w:shd w:val="clear" w:color="auto" w:fill="auto"/>
            <w:noWrap/>
            <w:vAlign w:val="center"/>
          </w:tcPr>
          <w:p w:rsidR="006B3ECB" w:rsidRDefault="006B3ECB" w:rsidP="006B3ECB">
            <w:pPr>
              <w:jc w:val="center"/>
              <w:rPr>
                <w:rFonts w:ascii="Calibri" w:hAnsi="Calibri"/>
                <w:color w:val="000000"/>
                <w:sz w:val="22"/>
              </w:rPr>
            </w:pPr>
            <w:r>
              <w:rPr>
                <w:rFonts w:ascii="Calibri" w:hAnsi="Calibri"/>
                <w:color w:val="000000"/>
                <w:sz w:val="22"/>
              </w:rPr>
              <w:t>4.559,53</w:t>
            </w:r>
          </w:p>
        </w:tc>
        <w:tc>
          <w:tcPr>
            <w:tcW w:w="1291" w:type="dxa"/>
            <w:tcBorders>
              <w:top w:val="nil"/>
              <w:left w:val="nil"/>
              <w:bottom w:val="single" w:sz="4" w:space="0" w:color="auto"/>
              <w:right w:val="nil"/>
            </w:tcBorders>
            <w:shd w:val="clear" w:color="auto" w:fill="auto"/>
            <w:noWrap/>
            <w:vAlign w:val="center"/>
          </w:tcPr>
          <w:p w:rsidR="006B3ECB" w:rsidRDefault="006B3ECB" w:rsidP="006B3ECB">
            <w:pPr>
              <w:jc w:val="center"/>
              <w:rPr>
                <w:rFonts w:ascii="Calibri" w:hAnsi="Calibri"/>
                <w:color w:val="000000"/>
                <w:sz w:val="22"/>
              </w:rPr>
            </w:pPr>
            <w:r>
              <w:rPr>
                <w:rFonts w:ascii="Calibri" w:hAnsi="Calibri"/>
                <w:color w:val="000000"/>
                <w:sz w:val="22"/>
              </w:rPr>
              <w:t>25.666,82</w:t>
            </w:r>
          </w:p>
        </w:tc>
        <w:tc>
          <w:tcPr>
            <w:tcW w:w="1373" w:type="dxa"/>
            <w:tcBorders>
              <w:top w:val="nil"/>
              <w:left w:val="nil"/>
              <w:bottom w:val="single" w:sz="4" w:space="0" w:color="auto"/>
              <w:right w:val="nil"/>
            </w:tcBorders>
            <w:shd w:val="clear" w:color="auto" w:fill="auto"/>
            <w:noWrap/>
            <w:vAlign w:val="center"/>
          </w:tcPr>
          <w:p w:rsidR="006B3ECB" w:rsidRDefault="006B3ECB" w:rsidP="006B3ECB">
            <w:pPr>
              <w:jc w:val="center"/>
              <w:rPr>
                <w:rFonts w:ascii="Calibri" w:hAnsi="Calibri"/>
                <w:color w:val="000000"/>
                <w:sz w:val="22"/>
              </w:rPr>
            </w:pPr>
            <w:r>
              <w:rPr>
                <w:rFonts w:ascii="Calibri" w:hAnsi="Calibri"/>
                <w:color w:val="000000"/>
                <w:sz w:val="22"/>
              </w:rPr>
              <w:t>1.282,32</w:t>
            </w:r>
          </w:p>
        </w:tc>
        <w:tc>
          <w:tcPr>
            <w:tcW w:w="1394" w:type="dxa"/>
            <w:tcBorders>
              <w:top w:val="nil"/>
              <w:left w:val="nil"/>
              <w:bottom w:val="single" w:sz="4" w:space="0" w:color="auto"/>
              <w:right w:val="nil"/>
            </w:tcBorders>
            <w:shd w:val="clear" w:color="auto" w:fill="auto"/>
            <w:noWrap/>
            <w:vAlign w:val="center"/>
          </w:tcPr>
          <w:p w:rsidR="006B3ECB" w:rsidRDefault="006B3ECB" w:rsidP="006B3ECB">
            <w:pPr>
              <w:jc w:val="center"/>
              <w:rPr>
                <w:rFonts w:ascii="Calibri" w:hAnsi="Calibri"/>
                <w:color w:val="000000"/>
                <w:sz w:val="22"/>
              </w:rPr>
            </w:pPr>
            <w:r>
              <w:rPr>
                <w:rFonts w:ascii="Calibri" w:hAnsi="Calibri"/>
                <w:color w:val="000000"/>
                <w:sz w:val="22"/>
              </w:rPr>
              <w:t>3.191,57</w:t>
            </w:r>
          </w:p>
        </w:tc>
      </w:tr>
      <w:tr w:rsidR="006B3ECB" w:rsidRPr="008328EC" w:rsidTr="00BD1632">
        <w:trPr>
          <w:trHeight w:val="300"/>
        </w:trPr>
        <w:tc>
          <w:tcPr>
            <w:tcW w:w="529" w:type="dxa"/>
            <w:tcBorders>
              <w:top w:val="nil"/>
              <w:left w:val="nil"/>
              <w:bottom w:val="single" w:sz="4" w:space="0" w:color="auto"/>
              <w:right w:val="nil"/>
            </w:tcBorders>
            <w:shd w:val="clear" w:color="auto" w:fill="auto"/>
            <w:noWrap/>
            <w:vAlign w:val="center"/>
          </w:tcPr>
          <w:p w:rsidR="006B3ECB" w:rsidRDefault="006B3ECB" w:rsidP="006B3ECB">
            <w:pPr>
              <w:jc w:val="center"/>
              <w:rPr>
                <w:rFonts w:ascii="Calibri" w:hAnsi="Calibri"/>
                <w:color w:val="000000"/>
                <w:sz w:val="22"/>
              </w:rPr>
            </w:pPr>
            <w:r>
              <w:rPr>
                <w:rFonts w:ascii="Calibri" w:hAnsi="Calibri"/>
                <w:color w:val="000000"/>
                <w:sz w:val="22"/>
              </w:rPr>
              <w:t>14</w:t>
            </w:r>
          </w:p>
        </w:tc>
        <w:tc>
          <w:tcPr>
            <w:tcW w:w="1096" w:type="dxa"/>
            <w:tcBorders>
              <w:top w:val="nil"/>
              <w:left w:val="nil"/>
              <w:bottom w:val="single" w:sz="4" w:space="0" w:color="auto"/>
              <w:right w:val="nil"/>
            </w:tcBorders>
            <w:shd w:val="clear" w:color="auto" w:fill="auto"/>
            <w:noWrap/>
            <w:vAlign w:val="center"/>
          </w:tcPr>
          <w:p w:rsidR="006B3ECB" w:rsidRDefault="006B3ECB" w:rsidP="006B3ECB">
            <w:pPr>
              <w:jc w:val="center"/>
              <w:rPr>
                <w:rFonts w:ascii="Calibri" w:hAnsi="Calibri"/>
                <w:color w:val="000000"/>
                <w:sz w:val="22"/>
              </w:rPr>
            </w:pPr>
            <w:r>
              <w:rPr>
                <w:rFonts w:ascii="Calibri" w:hAnsi="Calibri"/>
                <w:color w:val="000000"/>
                <w:sz w:val="22"/>
              </w:rPr>
              <w:t>5.405,50</w:t>
            </w:r>
          </w:p>
        </w:tc>
        <w:tc>
          <w:tcPr>
            <w:tcW w:w="1174" w:type="dxa"/>
            <w:gridSpan w:val="2"/>
            <w:tcBorders>
              <w:top w:val="nil"/>
              <w:left w:val="nil"/>
              <w:bottom w:val="single" w:sz="4" w:space="0" w:color="auto"/>
              <w:right w:val="nil"/>
            </w:tcBorders>
            <w:shd w:val="clear" w:color="auto" w:fill="auto"/>
            <w:noWrap/>
            <w:vAlign w:val="center"/>
          </w:tcPr>
          <w:p w:rsidR="006B3ECB" w:rsidRDefault="006B3ECB" w:rsidP="006B3ECB">
            <w:pPr>
              <w:jc w:val="center"/>
              <w:rPr>
                <w:rFonts w:ascii="Calibri" w:hAnsi="Calibri"/>
                <w:color w:val="000000"/>
                <w:sz w:val="22"/>
              </w:rPr>
            </w:pPr>
            <w:r>
              <w:rPr>
                <w:rFonts w:ascii="Calibri" w:hAnsi="Calibri"/>
                <w:color w:val="000000"/>
                <w:sz w:val="22"/>
              </w:rPr>
              <w:t>242,80</w:t>
            </w:r>
          </w:p>
        </w:tc>
        <w:tc>
          <w:tcPr>
            <w:tcW w:w="1307" w:type="dxa"/>
            <w:gridSpan w:val="2"/>
            <w:tcBorders>
              <w:top w:val="nil"/>
              <w:left w:val="nil"/>
              <w:bottom w:val="single" w:sz="4" w:space="0" w:color="auto"/>
              <w:right w:val="nil"/>
            </w:tcBorders>
            <w:shd w:val="clear" w:color="auto" w:fill="auto"/>
            <w:noWrap/>
            <w:vAlign w:val="center"/>
          </w:tcPr>
          <w:p w:rsidR="006B3ECB" w:rsidRDefault="006B3ECB" w:rsidP="006B3ECB">
            <w:pPr>
              <w:jc w:val="center"/>
              <w:rPr>
                <w:rFonts w:ascii="Calibri" w:hAnsi="Calibri"/>
                <w:color w:val="000000"/>
                <w:sz w:val="22"/>
              </w:rPr>
            </w:pPr>
            <w:r>
              <w:rPr>
                <w:rFonts w:ascii="Calibri" w:hAnsi="Calibri"/>
                <w:color w:val="000000"/>
                <w:sz w:val="22"/>
              </w:rPr>
              <w:t>387,01</w:t>
            </w:r>
          </w:p>
        </w:tc>
        <w:tc>
          <w:tcPr>
            <w:tcW w:w="1168" w:type="dxa"/>
            <w:tcBorders>
              <w:top w:val="nil"/>
              <w:left w:val="nil"/>
              <w:bottom w:val="single" w:sz="4" w:space="0" w:color="auto"/>
              <w:right w:val="nil"/>
            </w:tcBorders>
            <w:shd w:val="clear" w:color="auto" w:fill="auto"/>
            <w:noWrap/>
            <w:vAlign w:val="center"/>
          </w:tcPr>
          <w:p w:rsidR="006B3ECB" w:rsidRDefault="006B3ECB" w:rsidP="006B3ECB">
            <w:pPr>
              <w:jc w:val="center"/>
              <w:rPr>
                <w:rFonts w:ascii="Calibri" w:hAnsi="Calibri"/>
                <w:color w:val="000000"/>
                <w:sz w:val="22"/>
              </w:rPr>
            </w:pPr>
            <w:r>
              <w:rPr>
                <w:rFonts w:ascii="Calibri" w:hAnsi="Calibri"/>
                <w:color w:val="000000"/>
                <w:sz w:val="22"/>
              </w:rPr>
              <w:t>4.775,69</w:t>
            </w:r>
          </w:p>
        </w:tc>
        <w:tc>
          <w:tcPr>
            <w:tcW w:w="1291" w:type="dxa"/>
            <w:tcBorders>
              <w:top w:val="nil"/>
              <w:left w:val="nil"/>
              <w:bottom w:val="single" w:sz="4" w:space="0" w:color="auto"/>
              <w:right w:val="nil"/>
            </w:tcBorders>
            <w:shd w:val="clear" w:color="auto" w:fill="auto"/>
            <w:noWrap/>
            <w:vAlign w:val="center"/>
          </w:tcPr>
          <w:p w:rsidR="006B3ECB" w:rsidRDefault="006B3ECB" w:rsidP="006B3ECB">
            <w:pPr>
              <w:jc w:val="center"/>
              <w:rPr>
                <w:rFonts w:ascii="Calibri" w:hAnsi="Calibri"/>
                <w:color w:val="000000"/>
                <w:sz w:val="22"/>
              </w:rPr>
            </w:pPr>
            <w:r>
              <w:rPr>
                <w:rFonts w:ascii="Calibri" w:hAnsi="Calibri"/>
                <w:color w:val="000000"/>
                <w:sz w:val="22"/>
              </w:rPr>
              <w:t>30.442,52</w:t>
            </w:r>
          </w:p>
        </w:tc>
        <w:tc>
          <w:tcPr>
            <w:tcW w:w="1373" w:type="dxa"/>
            <w:tcBorders>
              <w:top w:val="nil"/>
              <w:left w:val="nil"/>
              <w:bottom w:val="single" w:sz="4" w:space="0" w:color="auto"/>
              <w:right w:val="nil"/>
            </w:tcBorders>
            <w:shd w:val="clear" w:color="auto" w:fill="auto"/>
            <w:noWrap/>
            <w:vAlign w:val="center"/>
          </w:tcPr>
          <w:p w:rsidR="006B3ECB" w:rsidRDefault="006B3ECB" w:rsidP="006B3ECB">
            <w:pPr>
              <w:jc w:val="center"/>
              <w:rPr>
                <w:rFonts w:ascii="Calibri" w:hAnsi="Calibri"/>
                <w:color w:val="000000"/>
                <w:sz w:val="22"/>
              </w:rPr>
            </w:pPr>
            <w:r>
              <w:rPr>
                <w:rFonts w:ascii="Calibri" w:hAnsi="Calibri"/>
                <w:color w:val="000000"/>
                <w:sz w:val="22"/>
              </w:rPr>
              <w:t>1.218,25</w:t>
            </w:r>
          </w:p>
        </w:tc>
        <w:tc>
          <w:tcPr>
            <w:tcW w:w="1394" w:type="dxa"/>
            <w:tcBorders>
              <w:top w:val="nil"/>
              <w:left w:val="nil"/>
              <w:bottom w:val="single" w:sz="4" w:space="0" w:color="auto"/>
              <w:right w:val="nil"/>
            </w:tcBorders>
            <w:shd w:val="clear" w:color="auto" w:fill="auto"/>
            <w:noWrap/>
            <w:vAlign w:val="center"/>
          </w:tcPr>
          <w:p w:rsidR="006B3ECB" w:rsidRDefault="006B3ECB" w:rsidP="006B3ECB">
            <w:pPr>
              <w:jc w:val="center"/>
              <w:rPr>
                <w:rFonts w:ascii="Calibri" w:hAnsi="Calibri"/>
                <w:color w:val="000000"/>
                <w:sz w:val="22"/>
              </w:rPr>
            </w:pPr>
            <w:r>
              <w:rPr>
                <w:rFonts w:ascii="Calibri" w:hAnsi="Calibri"/>
                <w:color w:val="000000"/>
                <w:sz w:val="22"/>
              </w:rPr>
              <w:t>4.409,81</w:t>
            </w:r>
          </w:p>
        </w:tc>
      </w:tr>
      <w:tr w:rsidR="006B3ECB" w:rsidRPr="008328EC" w:rsidTr="00BD1632">
        <w:trPr>
          <w:trHeight w:val="300"/>
        </w:trPr>
        <w:tc>
          <w:tcPr>
            <w:tcW w:w="529" w:type="dxa"/>
            <w:tcBorders>
              <w:top w:val="nil"/>
              <w:left w:val="nil"/>
              <w:bottom w:val="single" w:sz="4" w:space="0" w:color="auto"/>
              <w:right w:val="nil"/>
            </w:tcBorders>
            <w:shd w:val="clear" w:color="auto" w:fill="auto"/>
            <w:noWrap/>
            <w:vAlign w:val="center"/>
          </w:tcPr>
          <w:p w:rsidR="006B3ECB" w:rsidRDefault="006B3ECB" w:rsidP="006B3ECB">
            <w:pPr>
              <w:jc w:val="center"/>
              <w:rPr>
                <w:rFonts w:ascii="Calibri" w:hAnsi="Calibri"/>
                <w:color w:val="000000"/>
                <w:sz w:val="22"/>
              </w:rPr>
            </w:pPr>
            <w:r>
              <w:rPr>
                <w:rFonts w:ascii="Calibri" w:hAnsi="Calibri"/>
                <w:color w:val="000000"/>
                <w:sz w:val="22"/>
              </w:rPr>
              <w:t>15</w:t>
            </w:r>
          </w:p>
        </w:tc>
        <w:tc>
          <w:tcPr>
            <w:tcW w:w="1096" w:type="dxa"/>
            <w:tcBorders>
              <w:top w:val="nil"/>
              <w:left w:val="nil"/>
              <w:bottom w:val="single" w:sz="4" w:space="0" w:color="auto"/>
              <w:right w:val="nil"/>
            </w:tcBorders>
            <w:shd w:val="clear" w:color="auto" w:fill="auto"/>
            <w:noWrap/>
            <w:vAlign w:val="center"/>
          </w:tcPr>
          <w:p w:rsidR="006B3ECB" w:rsidRDefault="006B3ECB" w:rsidP="006B3ECB">
            <w:pPr>
              <w:jc w:val="center"/>
              <w:rPr>
                <w:rFonts w:ascii="Calibri" w:hAnsi="Calibri"/>
                <w:color w:val="000000"/>
                <w:sz w:val="22"/>
              </w:rPr>
            </w:pPr>
            <w:r>
              <w:rPr>
                <w:rFonts w:ascii="Calibri" w:hAnsi="Calibri"/>
                <w:color w:val="000000"/>
                <w:sz w:val="22"/>
              </w:rPr>
              <w:t>5.664,96</w:t>
            </w:r>
          </w:p>
        </w:tc>
        <w:tc>
          <w:tcPr>
            <w:tcW w:w="1174" w:type="dxa"/>
            <w:gridSpan w:val="2"/>
            <w:tcBorders>
              <w:top w:val="nil"/>
              <w:left w:val="nil"/>
              <w:bottom w:val="single" w:sz="4" w:space="0" w:color="auto"/>
              <w:right w:val="nil"/>
            </w:tcBorders>
            <w:shd w:val="clear" w:color="auto" w:fill="auto"/>
            <w:noWrap/>
            <w:vAlign w:val="center"/>
          </w:tcPr>
          <w:p w:rsidR="006B3ECB" w:rsidRDefault="006B3ECB" w:rsidP="006B3ECB">
            <w:pPr>
              <w:jc w:val="center"/>
              <w:rPr>
                <w:rFonts w:ascii="Calibri" w:hAnsi="Calibri"/>
                <w:color w:val="000000"/>
                <w:sz w:val="22"/>
              </w:rPr>
            </w:pPr>
            <w:r>
              <w:rPr>
                <w:rFonts w:ascii="Calibri" w:hAnsi="Calibri"/>
                <w:color w:val="000000"/>
                <w:sz w:val="22"/>
              </w:rPr>
              <w:t>255,55</w:t>
            </w:r>
          </w:p>
        </w:tc>
        <w:tc>
          <w:tcPr>
            <w:tcW w:w="1307" w:type="dxa"/>
            <w:gridSpan w:val="2"/>
            <w:tcBorders>
              <w:top w:val="nil"/>
              <w:left w:val="nil"/>
              <w:bottom w:val="single" w:sz="4" w:space="0" w:color="auto"/>
              <w:right w:val="nil"/>
            </w:tcBorders>
            <w:shd w:val="clear" w:color="auto" w:fill="auto"/>
            <w:noWrap/>
            <w:vAlign w:val="center"/>
          </w:tcPr>
          <w:p w:rsidR="006B3ECB" w:rsidRDefault="006B3ECB" w:rsidP="006B3ECB">
            <w:pPr>
              <w:jc w:val="center"/>
              <w:rPr>
                <w:rFonts w:ascii="Calibri" w:hAnsi="Calibri"/>
                <w:color w:val="000000"/>
                <w:sz w:val="22"/>
              </w:rPr>
            </w:pPr>
            <w:r>
              <w:rPr>
                <w:rFonts w:ascii="Calibri" w:hAnsi="Calibri"/>
                <w:color w:val="000000"/>
                <w:sz w:val="22"/>
              </w:rPr>
              <w:t>407,32</w:t>
            </w:r>
          </w:p>
        </w:tc>
        <w:tc>
          <w:tcPr>
            <w:tcW w:w="1168" w:type="dxa"/>
            <w:tcBorders>
              <w:top w:val="nil"/>
              <w:left w:val="nil"/>
              <w:bottom w:val="single" w:sz="4" w:space="0" w:color="auto"/>
              <w:right w:val="nil"/>
            </w:tcBorders>
            <w:shd w:val="clear" w:color="auto" w:fill="auto"/>
            <w:noWrap/>
            <w:vAlign w:val="center"/>
          </w:tcPr>
          <w:p w:rsidR="006B3ECB" w:rsidRDefault="006B3ECB" w:rsidP="006B3ECB">
            <w:pPr>
              <w:jc w:val="center"/>
              <w:rPr>
                <w:rFonts w:ascii="Calibri" w:hAnsi="Calibri"/>
                <w:color w:val="000000"/>
                <w:sz w:val="22"/>
              </w:rPr>
            </w:pPr>
            <w:r>
              <w:rPr>
                <w:rFonts w:ascii="Calibri" w:hAnsi="Calibri"/>
                <w:color w:val="000000"/>
                <w:sz w:val="22"/>
              </w:rPr>
              <w:t>5.002,09</w:t>
            </w:r>
          </w:p>
        </w:tc>
        <w:tc>
          <w:tcPr>
            <w:tcW w:w="1291" w:type="dxa"/>
            <w:tcBorders>
              <w:top w:val="nil"/>
              <w:left w:val="nil"/>
              <w:bottom w:val="single" w:sz="4" w:space="0" w:color="auto"/>
              <w:right w:val="nil"/>
            </w:tcBorders>
            <w:shd w:val="clear" w:color="auto" w:fill="auto"/>
            <w:noWrap/>
            <w:vAlign w:val="center"/>
          </w:tcPr>
          <w:p w:rsidR="006B3ECB" w:rsidRDefault="006B3ECB" w:rsidP="006B3ECB">
            <w:pPr>
              <w:jc w:val="center"/>
              <w:rPr>
                <w:rFonts w:ascii="Calibri" w:hAnsi="Calibri"/>
                <w:color w:val="000000"/>
                <w:sz w:val="22"/>
              </w:rPr>
            </w:pPr>
            <w:r>
              <w:rPr>
                <w:rFonts w:ascii="Calibri" w:hAnsi="Calibri"/>
                <w:color w:val="000000"/>
                <w:sz w:val="22"/>
              </w:rPr>
              <w:t>35.444,61</w:t>
            </w:r>
          </w:p>
        </w:tc>
        <w:tc>
          <w:tcPr>
            <w:tcW w:w="1373" w:type="dxa"/>
            <w:tcBorders>
              <w:top w:val="nil"/>
              <w:left w:val="nil"/>
              <w:bottom w:val="single" w:sz="4" w:space="0" w:color="auto"/>
              <w:right w:val="nil"/>
            </w:tcBorders>
            <w:shd w:val="clear" w:color="auto" w:fill="auto"/>
            <w:noWrap/>
            <w:vAlign w:val="center"/>
          </w:tcPr>
          <w:p w:rsidR="006B3ECB" w:rsidRDefault="006B3ECB" w:rsidP="006B3ECB">
            <w:pPr>
              <w:jc w:val="center"/>
              <w:rPr>
                <w:rFonts w:ascii="Calibri" w:hAnsi="Calibri"/>
                <w:color w:val="000000"/>
                <w:sz w:val="22"/>
              </w:rPr>
            </w:pPr>
            <w:r>
              <w:rPr>
                <w:rFonts w:ascii="Calibri" w:hAnsi="Calibri"/>
                <w:color w:val="000000"/>
                <w:sz w:val="22"/>
              </w:rPr>
              <w:t>1.157,37</w:t>
            </w:r>
          </w:p>
        </w:tc>
        <w:tc>
          <w:tcPr>
            <w:tcW w:w="1394" w:type="dxa"/>
            <w:tcBorders>
              <w:top w:val="nil"/>
              <w:left w:val="nil"/>
              <w:bottom w:val="single" w:sz="4" w:space="0" w:color="auto"/>
              <w:right w:val="nil"/>
            </w:tcBorders>
            <w:shd w:val="clear" w:color="auto" w:fill="auto"/>
            <w:noWrap/>
            <w:vAlign w:val="center"/>
          </w:tcPr>
          <w:p w:rsidR="006B3ECB" w:rsidRDefault="006B3ECB" w:rsidP="006B3ECB">
            <w:pPr>
              <w:jc w:val="center"/>
              <w:rPr>
                <w:rFonts w:ascii="Calibri" w:hAnsi="Calibri"/>
                <w:color w:val="000000"/>
                <w:sz w:val="22"/>
              </w:rPr>
            </w:pPr>
            <w:r>
              <w:rPr>
                <w:rFonts w:ascii="Calibri" w:hAnsi="Calibri"/>
                <w:color w:val="000000"/>
                <w:sz w:val="22"/>
              </w:rPr>
              <w:t>5.567,19</w:t>
            </w:r>
          </w:p>
        </w:tc>
      </w:tr>
      <w:tr w:rsidR="006B3ECB" w:rsidRPr="008328EC" w:rsidTr="00BD1632">
        <w:trPr>
          <w:trHeight w:val="300"/>
        </w:trPr>
        <w:tc>
          <w:tcPr>
            <w:tcW w:w="529" w:type="dxa"/>
            <w:tcBorders>
              <w:top w:val="nil"/>
              <w:left w:val="nil"/>
              <w:bottom w:val="single" w:sz="4" w:space="0" w:color="auto"/>
              <w:right w:val="nil"/>
            </w:tcBorders>
            <w:shd w:val="clear" w:color="auto" w:fill="auto"/>
            <w:noWrap/>
            <w:vAlign w:val="center"/>
          </w:tcPr>
          <w:p w:rsidR="006B3ECB" w:rsidRDefault="006B3ECB" w:rsidP="006B3ECB">
            <w:pPr>
              <w:jc w:val="center"/>
              <w:rPr>
                <w:rFonts w:ascii="Calibri" w:hAnsi="Calibri"/>
                <w:color w:val="000000"/>
                <w:sz w:val="22"/>
              </w:rPr>
            </w:pPr>
            <w:r>
              <w:rPr>
                <w:rFonts w:ascii="Calibri" w:hAnsi="Calibri"/>
                <w:color w:val="000000"/>
                <w:sz w:val="22"/>
              </w:rPr>
              <w:t>16</w:t>
            </w:r>
          </w:p>
        </w:tc>
        <w:tc>
          <w:tcPr>
            <w:tcW w:w="1096" w:type="dxa"/>
            <w:tcBorders>
              <w:top w:val="nil"/>
              <w:left w:val="nil"/>
              <w:bottom w:val="single" w:sz="4" w:space="0" w:color="auto"/>
              <w:right w:val="nil"/>
            </w:tcBorders>
            <w:shd w:val="clear" w:color="auto" w:fill="auto"/>
            <w:noWrap/>
            <w:vAlign w:val="center"/>
          </w:tcPr>
          <w:p w:rsidR="006B3ECB" w:rsidRDefault="006B3ECB" w:rsidP="006B3ECB">
            <w:pPr>
              <w:jc w:val="center"/>
              <w:rPr>
                <w:rFonts w:ascii="Calibri" w:hAnsi="Calibri"/>
                <w:color w:val="000000"/>
                <w:sz w:val="22"/>
              </w:rPr>
            </w:pPr>
            <w:r>
              <w:rPr>
                <w:rFonts w:ascii="Calibri" w:hAnsi="Calibri"/>
                <w:color w:val="000000"/>
                <w:sz w:val="22"/>
              </w:rPr>
              <w:t>5.936,88</w:t>
            </w:r>
          </w:p>
        </w:tc>
        <w:tc>
          <w:tcPr>
            <w:tcW w:w="1174" w:type="dxa"/>
            <w:gridSpan w:val="2"/>
            <w:tcBorders>
              <w:top w:val="nil"/>
              <w:left w:val="nil"/>
              <w:bottom w:val="single" w:sz="4" w:space="0" w:color="auto"/>
              <w:right w:val="nil"/>
            </w:tcBorders>
            <w:shd w:val="clear" w:color="auto" w:fill="auto"/>
            <w:noWrap/>
            <w:vAlign w:val="center"/>
          </w:tcPr>
          <w:p w:rsidR="006B3ECB" w:rsidRDefault="006B3ECB" w:rsidP="006B3ECB">
            <w:pPr>
              <w:jc w:val="center"/>
              <w:rPr>
                <w:rFonts w:ascii="Calibri" w:hAnsi="Calibri"/>
                <w:color w:val="000000"/>
                <w:sz w:val="22"/>
              </w:rPr>
            </w:pPr>
            <w:r>
              <w:rPr>
                <w:rFonts w:ascii="Calibri" w:hAnsi="Calibri"/>
                <w:color w:val="000000"/>
                <w:sz w:val="22"/>
              </w:rPr>
              <w:t>268,96</w:t>
            </w:r>
          </w:p>
        </w:tc>
        <w:tc>
          <w:tcPr>
            <w:tcW w:w="1307" w:type="dxa"/>
            <w:gridSpan w:val="2"/>
            <w:tcBorders>
              <w:top w:val="nil"/>
              <w:left w:val="nil"/>
              <w:bottom w:val="single" w:sz="4" w:space="0" w:color="auto"/>
              <w:right w:val="nil"/>
            </w:tcBorders>
            <w:shd w:val="clear" w:color="auto" w:fill="auto"/>
            <w:noWrap/>
            <w:vAlign w:val="center"/>
          </w:tcPr>
          <w:p w:rsidR="006B3ECB" w:rsidRDefault="006B3ECB" w:rsidP="006B3ECB">
            <w:pPr>
              <w:jc w:val="center"/>
              <w:rPr>
                <w:rFonts w:ascii="Calibri" w:hAnsi="Calibri"/>
                <w:color w:val="000000"/>
                <w:sz w:val="22"/>
              </w:rPr>
            </w:pPr>
            <w:r>
              <w:rPr>
                <w:rFonts w:ascii="Calibri" w:hAnsi="Calibri"/>
                <w:color w:val="000000"/>
                <w:sz w:val="22"/>
              </w:rPr>
              <w:t>428,71</w:t>
            </w:r>
          </w:p>
        </w:tc>
        <w:tc>
          <w:tcPr>
            <w:tcW w:w="1168" w:type="dxa"/>
            <w:tcBorders>
              <w:top w:val="nil"/>
              <w:left w:val="nil"/>
              <w:bottom w:val="single" w:sz="4" w:space="0" w:color="auto"/>
              <w:right w:val="nil"/>
            </w:tcBorders>
            <w:shd w:val="clear" w:color="auto" w:fill="auto"/>
            <w:noWrap/>
            <w:vAlign w:val="center"/>
          </w:tcPr>
          <w:p w:rsidR="006B3ECB" w:rsidRDefault="006B3ECB" w:rsidP="006B3ECB">
            <w:pPr>
              <w:jc w:val="center"/>
              <w:rPr>
                <w:rFonts w:ascii="Calibri" w:hAnsi="Calibri"/>
                <w:color w:val="000000"/>
                <w:sz w:val="22"/>
              </w:rPr>
            </w:pPr>
            <w:r>
              <w:rPr>
                <w:rFonts w:ascii="Calibri" w:hAnsi="Calibri"/>
                <w:color w:val="000000"/>
                <w:sz w:val="22"/>
              </w:rPr>
              <w:t>5.239,21</w:t>
            </w:r>
          </w:p>
        </w:tc>
        <w:tc>
          <w:tcPr>
            <w:tcW w:w="1291" w:type="dxa"/>
            <w:tcBorders>
              <w:top w:val="nil"/>
              <w:left w:val="nil"/>
              <w:bottom w:val="single" w:sz="4" w:space="0" w:color="auto"/>
              <w:right w:val="nil"/>
            </w:tcBorders>
            <w:shd w:val="clear" w:color="auto" w:fill="auto"/>
            <w:noWrap/>
            <w:vAlign w:val="center"/>
          </w:tcPr>
          <w:p w:rsidR="006B3ECB" w:rsidRDefault="006B3ECB" w:rsidP="006B3ECB">
            <w:pPr>
              <w:jc w:val="center"/>
              <w:rPr>
                <w:rFonts w:ascii="Calibri" w:hAnsi="Calibri"/>
                <w:color w:val="000000"/>
                <w:sz w:val="22"/>
              </w:rPr>
            </w:pPr>
            <w:r>
              <w:rPr>
                <w:rFonts w:ascii="Calibri" w:hAnsi="Calibri"/>
                <w:color w:val="000000"/>
                <w:sz w:val="22"/>
              </w:rPr>
              <w:t>40.683,81</w:t>
            </w:r>
          </w:p>
        </w:tc>
        <w:tc>
          <w:tcPr>
            <w:tcW w:w="1373" w:type="dxa"/>
            <w:tcBorders>
              <w:top w:val="nil"/>
              <w:left w:val="nil"/>
              <w:bottom w:val="single" w:sz="4" w:space="0" w:color="auto"/>
              <w:right w:val="nil"/>
            </w:tcBorders>
            <w:shd w:val="clear" w:color="auto" w:fill="auto"/>
            <w:noWrap/>
            <w:vAlign w:val="center"/>
          </w:tcPr>
          <w:p w:rsidR="006B3ECB" w:rsidRDefault="006B3ECB" w:rsidP="006B3ECB">
            <w:pPr>
              <w:jc w:val="center"/>
              <w:rPr>
                <w:rFonts w:ascii="Calibri" w:hAnsi="Calibri"/>
                <w:color w:val="000000"/>
                <w:sz w:val="22"/>
              </w:rPr>
            </w:pPr>
            <w:r>
              <w:rPr>
                <w:rFonts w:ascii="Calibri" w:hAnsi="Calibri"/>
                <w:color w:val="000000"/>
                <w:sz w:val="22"/>
              </w:rPr>
              <w:t>1.099,53</w:t>
            </w:r>
          </w:p>
        </w:tc>
        <w:tc>
          <w:tcPr>
            <w:tcW w:w="1394" w:type="dxa"/>
            <w:tcBorders>
              <w:top w:val="nil"/>
              <w:left w:val="nil"/>
              <w:bottom w:val="single" w:sz="4" w:space="0" w:color="auto"/>
              <w:right w:val="nil"/>
            </w:tcBorders>
            <w:shd w:val="clear" w:color="auto" w:fill="auto"/>
            <w:noWrap/>
            <w:vAlign w:val="center"/>
          </w:tcPr>
          <w:p w:rsidR="006B3ECB" w:rsidRDefault="006B3ECB" w:rsidP="006B3ECB">
            <w:pPr>
              <w:jc w:val="center"/>
              <w:rPr>
                <w:rFonts w:ascii="Calibri" w:hAnsi="Calibri"/>
                <w:color w:val="000000"/>
                <w:sz w:val="22"/>
              </w:rPr>
            </w:pPr>
            <w:r>
              <w:rPr>
                <w:rFonts w:ascii="Calibri" w:hAnsi="Calibri"/>
                <w:color w:val="000000"/>
                <w:sz w:val="22"/>
              </w:rPr>
              <w:t>6.666,72</w:t>
            </w:r>
          </w:p>
        </w:tc>
      </w:tr>
      <w:tr w:rsidR="006B3ECB" w:rsidRPr="008328EC" w:rsidTr="00BD1632">
        <w:trPr>
          <w:trHeight w:val="300"/>
        </w:trPr>
        <w:tc>
          <w:tcPr>
            <w:tcW w:w="529" w:type="dxa"/>
            <w:tcBorders>
              <w:top w:val="nil"/>
              <w:left w:val="nil"/>
              <w:bottom w:val="single" w:sz="4" w:space="0" w:color="auto"/>
              <w:right w:val="nil"/>
            </w:tcBorders>
            <w:shd w:val="clear" w:color="auto" w:fill="auto"/>
            <w:noWrap/>
            <w:vAlign w:val="center"/>
          </w:tcPr>
          <w:p w:rsidR="006B3ECB" w:rsidRDefault="006B3ECB" w:rsidP="006B3ECB">
            <w:pPr>
              <w:jc w:val="center"/>
              <w:rPr>
                <w:rFonts w:ascii="Calibri" w:hAnsi="Calibri"/>
                <w:color w:val="000000"/>
                <w:sz w:val="22"/>
              </w:rPr>
            </w:pPr>
            <w:r>
              <w:rPr>
                <w:rFonts w:ascii="Calibri" w:hAnsi="Calibri"/>
                <w:color w:val="000000"/>
                <w:sz w:val="22"/>
              </w:rPr>
              <w:t>17</w:t>
            </w:r>
          </w:p>
        </w:tc>
        <w:tc>
          <w:tcPr>
            <w:tcW w:w="1096" w:type="dxa"/>
            <w:tcBorders>
              <w:top w:val="nil"/>
              <w:left w:val="nil"/>
              <w:bottom w:val="single" w:sz="4" w:space="0" w:color="auto"/>
              <w:right w:val="nil"/>
            </w:tcBorders>
            <w:shd w:val="clear" w:color="auto" w:fill="auto"/>
            <w:noWrap/>
            <w:vAlign w:val="center"/>
          </w:tcPr>
          <w:p w:rsidR="006B3ECB" w:rsidRDefault="006B3ECB" w:rsidP="006B3ECB">
            <w:pPr>
              <w:jc w:val="center"/>
              <w:rPr>
                <w:rFonts w:ascii="Calibri" w:hAnsi="Calibri"/>
                <w:color w:val="000000"/>
                <w:sz w:val="22"/>
              </w:rPr>
            </w:pPr>
            <w:r>
              <w:rPr>
                <w:rFonts w:ascii="Calibri" w:hAnsi="Calibri"/>
                <w:color w:val="000000"/>
                <w:sz w:val="22"/>
              </w:rPr>
              <w:t>6.221,85</w:t>
            </w:r>
          </w:p>
        </w:tc>
        <w:tc>
          <w:tcPr>
            <w:tcW w:w="1174" w:type="dxa"/>
            <w:gridSpan w:val="2"/>
            <w:tcBorders>
              <w:top w:val="nil"/>
              <w:left w:val="nil"/>
              <w:bottom w:val="single" w:sz="4" w:space="0" w:color="auto"/>
              <w:right w:val="nil"/>
            </w:tcBorders>
            <w:shd w:val="clear" w:color="auto" w:fill="auto"/>
            <w:noWrap/>
            <w:vAlign w:val="center"/>
          </w:tcPr>
          <w:p w:rsidR="006B3ECB" w:rsidRDefault="006B3ECB" w:rsidP="006B3ECB">
            <w:pPr>
              <w:jc w:val="center"/>
              <w:rPr>
                <w:rFonts w:ascii="Calibri" w:hAnsi="Calibri"/>
                <w:color w:val="000000"/>
                <w:sz w:val="22"/>
              </w:rPr>
            </w:pPr>
            <w:r>
              <w:rPr>
                <w:rFonts w:ascii="Calibri" w:hAnsi="Calibri"/>
                <w:color w:val="000000"/>
                <w:sz w:val="22"/>
              </w:rPr>
              <w:t>283,08</w:t>
            </w:r>
          </w:p>
        </w:tc>
        <w:tc>
          <w:tcPr>
            <w:tcW w:w="1307" w:type="dxa"/>
            <w:gridSpan w:val="2"/>
            <w:tcBorders>
              <w:top w:val="nil"/>
              <w:left w:val="nil"/>
              <w:bottom w:val="single" w:sz="4" w:space="0" w:color="auto"/>
              <w:right w:val="nil"/>
            </w:tcBorders>
            <w:shd w:val="clear" w:color="auto" w:fill="auto"/>
            <w:noWrap/>
            <w:vAlign w:val="center"/>
          </w:tcPr>
          <w:p w:rsidR="006B3ECB" w:rsidRDefault="006B3ECB" w:rsidP="006B3ECB">
            <w:pPr>
              <w:jc w:val="center"/>
              <w:rPr>
                <w:rFonts w:ascii="Calibri" w:hAnsi="Calibri"/>
                <w:color w:val="000000"/>
                <w:sz w:val="22"/>
              </w:rPr>
            </w:pPr>
            <w:r>
              <w:rPr>
                <w:rFonts w:ascii="Calibri" w:hAnsi="Calibri"/>
                <w:color w:val="000000"/>
                <w:sz w:val="22"/>
              </w:rPr>
              <w:t>451,22</w:t>
            </w:r>
          </w:p>
        </w:tc>
        <w:tc>
          <w:tcPr>
            <w:tcW w:w="1168" w:type="dxa"/>
            <w:tcBorders>
              <w:top w:val="nil"/>
              <w:left w:val="nil"/>
              <w:bottom w:val="single" w:sz="4" w:space="0" w:color="auto"/>
              <w:right w:val="nil"/>
            </w:tcBorders>
            <w:shd w:val="clear" w:color="auto" w:fill="auto"/>
            <w:noWrap/>
            <w:vAlign w:val="center"/>
          </w:tcPr>
          <w:p w:rsidR="006B3ECB" w:rsidRDefault="006B3ECB" w:rsidP="006B3ECB">
            <w:pPr>
              <w:jc w:val="center"/>
              <w:rPr>
                <w:rFonts w:ascii="Calibri" w:hAnsi="Calibri"/>
                <w:color w:val="000000"/>
                <w:sz w:val="22"/>
              </w:rPr>
            </w:pPr>
            <w:r>
              <w:rPr>
                <w:rFonts w:ascii="Calibri" w:hAnsi="Calibri"/>
                <w:color w:val="000000"/>
                <w:sz w:val="22"/>
              </w:rPr>
              <w:t>5.487,55</w:t>
            </w:r>
          </w:p>
        </w:tc>
        <w:tc>
          <w:tcPr>
            <w:tcW w:w="1291" w:type="dxa"/>
            <w:tcBorders>
              <w:top w:val="nil"/>
              <w:left w:val="nil"/>
              <w:bottom w:val="single" w:sz="4" w:space="0" w:color="auto"/>
              <w:right w:val="nil"/>
            </w:tcBorders>
            <w:shd w:val="clear" w:color="auto" w:fill="auto"/>
            <w:noWrap/>
            <w:vAlign w:val="center"/>
          </w:tcPr>
          <w:p w:rsidR="006B3ECB" w:rsidRDefault="006B3ECB" w:rsidP="006B3ECB">
            <w:pPr>
              <w:jc w:val="center"/>
              <w:rPr>
                <w:rFonts w:ascii="Calibri" w:hAnsi="Calibri"/>
                <w:color w:val="000000"/>
                <w:sz w:val="22"/>
              </w:rPr>
            </w:pPr>
            <w:r>
              <w:rPr>
                <w:rFonts w:ascii="Calibri" w:hAnsi="Calibri"/>
                <w:color w:val="000000"/>
                <w:sz w:val="22"/>
              </w:rPr>
              <w:t>46.171,37</w:t>
            </w:r>
          </w:p>
        </w:tc>
        <w:tc>
          <w:tcPr>
            <w:tcW w:w="1373" w:type="dxa"/>
            <w:tcBorders>
              <w:top w:val="nil"/>
              <w:left w:val="nil"/>
              <w:bottom w:val="single" w:sz="4" w:space="0" w:color="auto"/>
              <w:right w:val="nil"/>
            </w:tcBorders>
            <w:shd w:val="clear" w:color="auto" w:fill="auto"/>
            <w:noWrap/>
            <w:vAlign w:val="center"/>
          </w:tcPr>
          <w:p w:rsidR="006B3ECB" w:rsidRDefault="006B3ECB" w:rsidP="006B3ECB">
            <w:pPr>
              <w:jc w:val="center"/>
              <w:rPr>
                <w:rFonts w:ascii="Calibri" w:hAnsi="Calibri"/>
                <w:color w:val="000000"/>
                <w:sz w:val="22"/>
              </w:rPr>
            </w:pPr>
            <w:r>
              <w:rPr>
                <w:rFonts w:ascii="Calibri" w:hAnsi="Calibri"/>
                <w:color w:val="000000"/>
                <w:sz w:val="22"/>
              </w:rPr>
              <w:t>1.044,58</w:t>
            </w:r>
          </w:p>
        </w:tc>
        <w:tc>
          <w:tcPr>
            <w:tcW w:w="1394" w:type="dxa"/>
            <w:tcBorders>
              <w:top w:val="nil"/>
              <w:left w:val="nil"/>
              <w:bottom w:val="single" w:sz="4" w:space="0" w:color="auto"/>
              <w:right w:val="nil"/>
            </w:tcBorders>
            <w:shd w:val="clear" w:color="auto" w:fill="auto"/>
            <w:noWrap/>
            <w:vAlign w:val="center"/>
          </w:tcPr>
          <w:p w:rsidR="006B3ECB" w:rsidRDefault="006B3ECB" w:rsidP="006B3ECB">
            <w:pPr>
              <w:jc w:val="center"/>
              <w:rPr>
                <w:rFonts w:ascii="Calibri" w:hAnsi="Calibri"/>
                <w:color w:val="000000"/>
                <w:sz w:val="22"/>
              </w:rPr>
            </w:pPr>
            <w:r>
              <w:rPr>
                <w:rFonts w:ascii="Calibri" w:hAnsi="Calibri"/>
                <w:color w:val="000000"/>
                <w:sz w:val="22"/>
              </w:rPr>
              <w:t>7.711,30</w:t>
            </w:r>
          </w:p>
        </w:tc>
      </w:tr>
      <w:tr w:rsidR="006B3ECB" w:rsidRPr="008328EC" w:rsidTr="00BD1632">
        <w:trPr>
          <w:trHeight w:val="300"/>
        </w:trPr>
        <w:tc>
          <w:tcPr>
            <w:tcW w:w="529" w:type="dxa"/>
            <w:tcBorders>
              <w:top w:val="nil"/>
              <w:left w:val="nil"/>
              <w:bottom w:val="single" w:sz="4" w:space="0" w:color="auto"/>
              <w:right w:val="nil"/>
            </w:tcBorders>
            <w:shd w:val="clear" w:color="auto" w:fill="auto"/>
            <w:noWrap/>
            <w:vAlign w:val="center"/>
            <w:hideMark/>
          </w:tcPr>
          <w:p w:rsidR="006B3ECB" w:rsidRDefault="006B3ECB" w:rsidP="006B3ECB">
            <w:pPr>
              <w:jc w:val="center"/>
              <w:rPr>
                <w:rFonts w:ascii="Calibri" w:hAnsi="Calibri"/>
                <w:color w:val="000000"/>
                <w:sz w:val="22"/>
              </w:rPr>
            </w:pPr>
            <w:r>
              <w:rPr>
                <w:rFonts w:ascii="Calibri" w:hAnsi="Calibri"/>
                <w:color w:val="000000"/>
                <w:sz w:val="22"/>
              </w:rPr>
              <w:t>18</w:t>
            </w:r>
          </w:p>
        </w:tc>
        <w:tc>
          <w:tcPr>
            <w:tcW w:w="1096" w:type="dxa"/>
            <w:tcBorders>
              <w:top w:val="nil"/>
              <w:left w:val="nil"/>
              <w:bottom w:val="single" w:sz="4" w:space="0" w:color="auto"/>
              <w:right w:val="nil"/>
            </w:tcBorders>
            <w:shd w:val="clear" w:color="auto" w:fill="auto"/>
            <w:noWrap/>
            <w:vAlign w:val="center"/>
            <w:hideMark/>
          </w:tcPr>
          <w:p w:rsidR="006B3ECB" w:rsidRDefault="006B3ECB" w:rsidP="006B3ECB">
            <w:pPr>
              <w:jc w:val="center"/>
              <w:rPr>
                <w:rFonts w:ascii="Calibri" w:hAnsi="Calibri"/>
                <w:color w:val="000000"/>
                <w:sz w:val="22"/>
              </w:rPr>
            </w:pPr>
            <w:r>
              <w:rPr>
                <w:rFonts w:ascii="Calibri" w:hAnsi="Calibri"/>
                <w:color w:val="000000"/>
                <w:sz w:val="22"/>
              </w:rPr>
              <w:t>6.520,50</w:t>
            </w:r>
          </w:p>
        </w:tc>
        <w:tc>
          <w:tcPr>
            <w:tcW w:w="1174" w:type="dxa"/>
            <w:gridSpan w:val="2"/>
            <w:tcBorders>
              <w:top w:val="nil"/>
              <w:left w:val="nil"/>
              <w:bottom w:val="single" w:sz="4" w:space="0" w:color="auto"/>
              <w:right w:val="nil"/>
            </w:tcBorders>
            <w:shd w:val="clear" w:color="auto" w:fill="auto"/>
            <w:noWrap/>
            <w:vAlign w:val="center"/>
            <w:hideMark/>
          </w:tcPr>
          <w:p w:rsidR="006B3ECB" w:rsidRDefault="006B3ECB" w:rsidP="006B3ECB">
            <w:pPr>
              <w:jc w:val="center"/>
              <w:rPr>
                <w:rFonts w:ascii="Calibri" w:hAnsi="Calibri"/>
                <w:color w:val="000000"/>
                <w:sz w:val="22"/>
              </w:rPr>
            </w:pPr>
            <w:r>
              <w:rPr>
                <w:rFonts w:ascii="Calibri" w:hAnsi="Calibri"/>
                <w:color w:val="000000"/>
                <w:sz w:val="22"/>
              </w:rPr>
              <w:t>297,95</w:t>
            </w:r>
          </w:p>
        </w:tc>
        <w:tc>
          <w:tcPr>
            <w:tcW w:w="1307" w:type="dxa"/>
            <w:gridSpan w:val="2"/>
            <w:tcBorders>
              <w:top w:val="nil"/>
              <w:left w:val="nil"/>
              <w:bottom w:val="single" w:sz="4" w:space="0" w:color="auto"/>
              <w:right w:val="nil"/>
            </w:tcBorders>
            <w:shd w:val="clear" w:color="auto" w:fill="auto"/>
            <w:noWrap/>
            <w:vAlign w:val="center"/>
            <w:hideMark/>
          </w:tcPr>
          <w:p w:rsidR="006B3ECB" w:rsidRDefault="006B3ECB" w:rsidP="006B3ECB">
            <w:pPr>
              <w:jc w:val="center"/>
              <w:rPr>
                <w:rFonts w:ascii="Calibri" w:hAnsi="Calibri"/>
                <w:color w:val="000000"/>
                <w:sz w:val="22"/>
              </w:rPr>
            </w:pPr>
            <w:r>
              <w:rPr>
                <w:rFonts w:ascii="Calibri" w:hAnsi="Calibri"/>
                <w:color w:val="000000"/>
                <w:sz w:val="22"/>
              </w:rPr>
              <w:t>474,91</w:t>
            </w:r>
          </w:p>
        </w:tc>
        <w:tc>
          <w:tcPr>
            <w:tcW w:w="1168" w:type="dxa"/>
            <w:tcBorders>
              <w:top w:val="nil"/>
              <w:left w:val="nil"/>
              <w:bottom w:val="single" w:sz="4" w:space="0" w:color="auto"/>
              <w:right w:val="nil"/>
            </w:tcBorders>
            <w:shd w:val="clear" w:color="auto" w:fill="auto"/>
            <w:noWrap/>
            <w:vAlign w:val="center"/>
            <w:hideMark/>
          </w:tcPr>
          <w:p w:rsidR="006B3ECB" w:rsidRDefault="006B3ECB" w:rsidP="006B3ECB">
            <w:pPr>
              <w:jc w:val="center"/>
              <w:rPr>
                <w:rFonts w:ascii="Calibri" w:hAnsi="Calibri"/>
                <w:color w:val="000000"/>
                <w:sz w:val="22"/>
              </w:rPr>
            </w:pPr>
            <w:r>
              <w:rPr>
                <w:rFonts w:ascii="Calibri" w:hAnsi="Calibri"/>
                <w:color w:val="000000"/>
                <w:sz w:val="22"/>
              </w:rPr>
              <w:t>5.747,65</w:t>
            </w:r>
          </w:p>
        </w:tc>
        <w:tc>
          <w:tcPr>
            <w:tcW w:w="1291" w:type="dxa"/>
            <w:tcBorders>
              <w:top w:val="nil"/>
              <w:left w:val="nil"/>
              <w:bottom w:val="single" w:sz="4" w:space="0" w:color="auto"/>
              <w:right w:val="nil"/>
            </w:tcBorders>
            <w:shd w:val="clear" w:color="auto" w:fill="auto"/>
            <w:noWrap/>
            <w:vAlign w:val="center"/>
            <w:hideMark/>
          </w:tcPr>
          <w:p w:rsidR="006B3ECB" w:rsidRDefault="006B3ECB" w:rsidP="006B3ECB">
            <w:pPr>
              <w:jc w:val="center"/>
              <w:rPr>
                <w:rFonts w:ascii="Calibri" w:hAnsi="Calibri"/>
                <w:color w:val="000000"/>
                <w:sz w:val="22"/>
              </w:rPr>
            </w:pPr>
            <w:r>
              <w:rPr>
                <w:rFonts w:ascii="Calibri" w:hAnsi="Calibri"/>
                <w:color w:val="000000"/>
                <w:sz w:val="22"/>
              </w:rPr>
              <w:t>51.919,01</w:t>
            </w:r>
          </w:p>
        </w:tc>
        <w:tc>
          <w:tcPr>
            <w:tcW w:w="1373" w:type="dxa"/>
            <w:tcBorders>
              <w:top w:val="nil"/>
              <w:left w:val="nil"/>
              <w:bottom w:val="single" w:sz="4" w:space="0" w:color="auto"/>
              <w:right w:val="nil"/>
            </w:tcBorders>
            <w:shd w:val="clear" w:color="auto" w:fill="auto"/>
            <w:noWrap/>
            <w:vAlign w:val="center"/>
            <w:hideMark/>
          </w:tcPr>
          <w:p w:rsidR="006B3ECB" w:rsidRDefault="006B3ECB" w:rsidP="006B3ECB">
            <w:pPr>
              <w:jc w:val="center"/>
              <w:rPr>
                <w:rFonts w:ascii="Calibri" w:hAnsi="Calibri"/>
                <w:color w:val="000000"/>
                <w:sz w:val="22"/>
              </w:rPr>
            </w:pPr>
            <w:r>
              <w:rPr>
                <w:rFonts w:ascii="Calibri" w:hAnsi="Calibri"/>
                <w:color w:val="000000"/>
                <w:sz w:val="22"/>
              </w:rPr>
              <w:t>992,37</w:t>
            </w:r>
          </w:p>
        </w:tc>
        <w:tc>
          <w:tcPr>
            <w:tcW w:w="1394" w:type="dxa"/>
            <w:tcBorders>
              <w:top w:val="nil"/>
              <w:left w:val="nil"/>
              <w:bottom w:val="single" w:sz="4" w:space="0" w:color="auto"/>
              <w:right w:val="nil"/>
            </w:tcBorders>
            <w:shd w:val="clear" w:color="auto" w:fill="auto"/>
            <w:noWrap/>
            <w:vAlign w:val="center"/>
            <w:hideMark/>
          </w:tcPr>
          <w:p w:rsidR="006B3ECB" w:rsidRDefault="006B3ECB" w:rsidP="006B3ECB">
            <w:pPr>
              <w:jc w:val="center"/>
              <w:rPr>
                <w:rFonts w:ascii="Calibri" w:hAnsi="Calibri"/>
                <w:color w:val="000000"/>
                <w:sz w:val="22"/>
              </w:rPr>
            </w:pPr>
            <w:r>
              <w:rPr>
                <w:rFonts w:ascii="Calibri" w:hAnsi="Calibri"/>
                <w:color w:val="000000"/>
                <w:sz w:val="22"/>
              </w:rPr>
              <w:t>8.703,67</w:t>
            </w:r>
          </w:p>
        </w:tc>
      </w:tr>
      <w:tr w:rsidR="0033264A" w:rsidRPr="008328EC" w:rsidTr="00BD1632">
        <w:trPr>
          <w:trHeight w:val="300"/>
        </w:trPr>
        <w:tc>
          <w:tcPr>
            <w:tcW w:w="529" w:type="dxa"/>
            <w:tcBorders>
              <w:top w:val="nil"/>
              <w:left w:val="nil"/>
              <w:bottom w:val="single" w:sz="4" w:space="0" w:color="auto"/>
              <w:right w:val="nil"/>
            </w:tcBorders>
            <w:shd w:val="clear" w:color="auto" w:fill="auto"/>
            <w:noWrap/>
            <w:vAlign w:val="center"/>
            <w:hideMark/>
          </w:tcPr>
          <w:p w:rsidR="0033264A" w:rsidRPr="008328EC" w:rsidRDefault="0033264A" w:rsidP="0033264A">
            <w:pPr>
              <w:spacing w:after="0" w:line="240" w:lineRule="auto"/>
              <w:contextualSpacing w:val="0"/>
              <w:jc w:val="center"/>
              <w:rPr>
                <w:rFonts w:ascii="Calibri" w:eastAsia="Times New Roman" w:hAnsi="Calibri" w:cs="Times New Roman"/>
                <w:color w:val="000000"/>
                <w:sz w:val="22"/>
                <w:lang w:eastAsia="pt-BR"/>
              </w:rPr>
            </w:pPr>
            <w:r w:rsidRPr="008328EC">
              <w:rPr>
                <w:rFonts w:ascii="Calibri" w:eastAsia="Times New Roman" w:hAnsi="Calibri" w:cs="Times New Roman"/>
                <w:color w:val="000000"/>
                <w:sz w:val="22"/>
                <w:lang w:eastAsia="pt-BR"/>
              </w:rPr>
              <w:t>19</w:t>
            </w:r>
          </w:p>
        </w:tc>
        <w:tc>
          <w:tcPr>
            <w:tcW w:w="1096" w:type="dxa"/>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5.157,92</w:t>
            </w:r>
          </w:p>
        </w:tc>
        <w:tc>
          <w:tcPr>
            <w:tcW w:w="1174" w:type="dxa"/>
            <w:gridSpan w:val="2"/>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230,69</w:t>
            </w:r>
          </w:p>
        </w:tc>
        <w:tc>
          <w:tcPr>
            <w:tcW w:w="1307" w:type="dxa"/>
            <w:gridSpan w:val="2"/>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367,70</w:t>
            </w:r>
          </w:p>
        </w:tc>
        <w:tc>
          <w:tcPr>
            <w:tcW w:w="1168" w:type="dxa"/>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4.559,53</w:t>
            </w:r>
          </w:p>
        </w:tc>
        <w:tc>
          <w:tcPr>
            <w:tcW w:w="1291" w:type="dxa"/>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25.666,82</w:t>
            </w:r>
          </w:p>
        </w:tc>
        <w:tc>
          <w:tcPr>
            <w:tcW w:w="1373" w:type="dxa"/>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1.282,32</w:t>
            </w:r>
          </w:p>
        </w:tc>
        <w:tc>
          <w:tcPr>
            <w:tcW w:w="1394" w:type="dxa"/>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3.191,57</w:t>
            </w:r>
          </w:p>
        </w:tc>
      </w:tr>
      <w:tr w:rsidR="0033264A" w:rsidRPr="008328EC" w:rsidTr="00BD1632">
        <w:trPr>
          <w:trHeight w:val="300"/>
        </w:trPr>
        <w:tc>
          <w:tcPr>
            <w:tcW w:w="529" w:type="dxa"/>
            <w:tcBorders>
              <w:top w:val="nil"/>
              <w:left w:val="nil"/>
              <w:bottom w:val="single" w:sz="4" w:space="0" w:color="auto"/>
              <w:right w:val="nil"/>
            </w:tcBorders>
            <w:shd w:val="clear" w:color="auto" w:fill="auto"/>
            <w:noWrap/>
            <w:vAlign w:val="center"/>
            <w:hideMark/>
          </w:tcPr>
          <w:p w:rsidR="0033264A" w:rsidRPr="008328EC" w:rsidRDefault="0033264A" w:rsidP="0033264A">
            <w:pPr>
              <w:spacing w:after="0" w:line="240" w:lineRule="auto"/>
              <w:contextualSpacing w:val="0"/>
              <w:jc w:val="center"/>
              <w:rPr>
                <w:rFonts w:ascii="Calibri" w:eastAsia="Times New Roman" w:hAnsi="Calibri" w:cs="Times New Roman"/>
                <w:color w:val="000000"/>
                <w:sz w:val="22"/>
                <w:lang w:eastAsia="pt-BR"/>
              </w:rPr>
            </w:pPr>
            <w:r w:rsidRPr="008328EC">
              <w:rPr>
                <w:rFonts w:ascii="Calibri" w:eastAsia="Times New Roman" w:hAnsi="Calibri" w:cs="Times New Roman"/>
                <w:color w:val="000000"/>
                <w:sz w:val="22"/>
                <w:lang w:eastAsia="pt-BR"/>
              </w:rPr>
              <w:t>20</w:t>
            </w:r>
          </w:p>
        </w:tc>
        <w:tc>
          <w:tcPr>
            <w:tcW w:w="1096" w:type="dxa"/>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5.405,50</w:t>
            </w:r>
          </w:p>
        </w:tc>
        <w:tc>
          <w:tcPr>
            <w:tcW w:w="1174" w:type="dxa"/>
            <w:gridSpan w:val="2"/>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242,80</w:t>
            </w:r>
          </w:p>
        </w:tc>
        <w:tc>
          <w:tcPr>
            <w:tcW w:w="1307" w:type="dxa"/>
            <w:gridSpan w:val="2"/>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387,01</w:t>
            </w:r>
          </w:p>
        </w:tc>
        <w:tc>
          <w:tcPr>
            <w:tcW w:w="1168" w:type="dxa"/>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4.775,69</w:t>
            </w:r>
          </w:p>
        </w:tc>
        <w:tc>
          <w:tcPr>
            <w:tcW w:w="1291" w:type="dxa"/>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30.442,52</w:t>
            </w:r>
          </w:p>
        </w:tc>
        <w:tc>
          <w:tcPr>
            <w:tcW w:w="1373" w:type="dxa"/>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1.218,25</w:t>
            </w:r>
          </w:p>
        </w:tc>
        <w:tc>
          <w:tcPr>
            <w:tcW w:w="1394" w:type="dxa"/>
            <w:tcBorders>
              <w:top w:val="nil"/>
              <w:left w:val="nil"/>
              <w:bottom w:val="single" w:sz="4" w:space="0" w:color="auto"/>
              <w:right w:val="nil"/>
            </w:tcBorders>
            <w:shd w:val="clear" w:color="auto" w:fill="auto"/>
            <w:noWrap/>
            <w:vAlign w:val="center"/>
            <w:hideMark/>
          </w:tcPr>
          <w:p w:rsidR="0033264A" w:rsidRDefault="0033264A" w:rsidP="0033264A">
            <w:pPr>
              <w:jc w:val="center"/>
              <w:rPr>
                <w:rFonts w:ascii="Calibri" w:hAnsi="Calibri"/>
                <w:color w:val="000000"/>
                <w:sz w:val="22"/>
              </w:rPr>
            </w:pPr>
            <w:r>
              <w:rPr>
                <w:rFonts w:ascii="Calibri" w:hAnsi="Calibri"/>
                <w:color w:val="000000"/>
                <w:sz w:val="22"/>
              </w:rPr>
              <w:t>4.409,81</w:t>
            </w:r>
          </w:p>
        </w:tc>
      </w:tr>
      <w:tr w:rsidR="00BD1632" w:rsidRPr="00BD1632" w:rsidTr="00BD1632">
        <w:trPr>
          <w:trHeight w:val="499"/>
        </w:trPr>
        <w:tc>
          <w:tcPr>
            <w:tcW w:w="2078" w:type="dxa"/>
            <w:gridSpan w:val="3"/>
            <w:tcBorders>
              <w:top w:val="nil"/>
              <w:left w:val="nil"/>
              <w:bottom w:val="single" w:sz="4" w:space="0" w:color="auto"/>
              <w:right w:val="nil"/>
            </w:tcBorders>
            <w:shd w:val="clear" w:color="auto" w:fill="auto"/>
            <w:vAlign w:val="center"/>
            <w:hideMark/>
          </w:tcPr>
          <w:p w:rsidR="00BD1632" w:rsidRPr="00BD1632" w:rsidRDefault="00BD1632" w:rsidP="0033264A">
            <w:pPr>
              <w:spacing w:after="0" w:line="240" w:lineRule="auto"/>
              <w:contextualSpacing w:val="0"/>
              <w:jc w:val="center"/>
              <w:rPr>
                <w:rFonts w:eastAsia="Times New Roman" w:cs="Arial"/>
                <w:b/>
                <w:i/>
                <w:color w:val="000000"/>
                <w:lang w:eastAsia="pt-BR"/>
              </w:rPr>
            </w:pPr>
            <w:r w:rsidRPr="00BD1632">
              <w:rPr>
                <w:rFonts w:eastAsia="Times New Roman" w:cs="Arial"/>
                <w:b/>
                <w:i/>
                <w:color w:val="000000"/>
                <w:lang w:eastAsia="pt-BR"/>
              </w:rPr>
              <w:t>V</w:t>
            </w:r>
            <w:r w:rsidRPr="008328EC">
              <w:rPr>
                <w:rFonts w:eastAsia="Times New Roman" w:cs="Arial"/>
                <w:b/>
                <w:i/>
                <w:color w:val="000000"/>
                <w:lang w:eastAsia="pt-BR"/>
              </w:rPr>
              <w:t>PL</w:t>
            </w:r>
          </w:p>
        </w:tc>
        <w:tc>
          <w:tcPr>
            <w:tcW w:w="1598" w:type="dxa"/>
            <w:gridSpan w:val="2"/>
            <w:tcBorders>
              <w:top w:val="nil"/>
              <w:left w:val="nil"/>
              <w:bottom w:val="single" w:sz="4" w:space="0" w:color="auto"/>
              <w:right w:val="nil"/>
            </w:tcBorders>
            <w:shd w:val="clear" w:color="auto" w:fill="auto"/>
            <w:vAlign w:val="center"/>
          </w:tcPr>
          <w:p w:rsidR="00BD1632" w:rsidRPr="00BD1632" w:rsidRDefault="00BD1632" w:rsidP="0033264A">
            <w:pPr>
              <w:spacing w:after="0" w:line="240" w:lineRule="auto"/>
              <w:contextualSpacing w:val="0"/>
              <w:jc w:val="center"/>
              <w:rPr>
                <w:rFonts w:eastAsia="Times New Roman" w:cs="Arial"/>
                <w:b/>
                <w:i/>
                <w:color w:val="000000"/>
                <w:lang w:eastAsia="pt-BR"/>
              </w:rPr>
            </w:pPr>
            <w:r w:rsidRPr="008328EC">
              <w:rPr>
                <w:rFonts w:eastAsia="Times New Roman" w:cs="Arial"/>
                <w:b/>
                <w:i/>
                <w:color w:val="000000"/>
                <w:lang w:eastAsia="pt-BR"/>
              </w:rPr>
              <w:t>R$ 9.561,99</w:t>
            </w:r>
          </w:p>
        </w:tc>
        <w:tc>
          <w:tcPr>
            <w:tcW w:w="2889" w:type="dxa"/>
            <w:gridSpan w:val="3"/>
            <w:tcBorders>
              <w:top w:val="nil"/>
              <w:left w:val="nil"/>
              <w:bottom w:val="single" w:sz="4" w:space="0" w:color="auto"/>
              <w:right w:val="nil"/>
            </w:tcBorders>
            <w:shd w:val="clear" w:color="auto" w:fill="auto"/>
            <w:vAlign w:val="center"/>
          </w:tcPr>
          <w:p w:rsidR="00BD1632" w:rsidRPr="008328EC" w:rsidRDefault="00BD1632" w:rsidP="0033264A">
            <w:pPr>
              <w:spacing w:after="0" w:line="240" w:lineRule="auto"/>
              <w:contextualSpacing w:val="0"/>
              <w:jc w:val="center"/>
              <w:rPr>
                <w:rFonts w:eastAsia="Times New Roman" w:cs="Arial"/>
                <w:b/>
                <w:i/>
                <w:color w:val="000000"/>
                <w:lang w:eastAsia="pt-BR"/>
              </w:rPr>
            </w:pPr>
            <w:r w:rsidRPr="008328EC">
              <w:rPr>
                <w:rFonts w:eastAsia="Times New Roman" w:cs="Arial"/>
                <w:b/>
                <w:i/>
                <w:color w:val="000000"/>
                <w:lang w:eastAsia="pt-BR"/>
              </w:rPr>
              <w:t>Payback Simples</w:t>
            </w:r>
          </w:p>
        </w:tc>
        <w:tc>
          <w:tcPr>
            <w:tcW w:w="1373" w:type="dxa"/>
            <w:tcBorders>
              <w:top w:val="nil"/>
              <w:left w:val="nil"/>
              <w:bottom w:val="single" w:sz="4" w:space="0" w:color="auto"/>
              <w:right w:val="nil"/>
            </w:tcBorders>
            <w:shd w:val="clear" w:color="auto" w:fill="auto"/>
            <w:noWrap/>
            <w:vAlign w:val="center"/>
            <w:hideMark/>
          </w:tcPr>
          <w:p w:rsidR="00BD1632" w:rsidRPr="008328EC" w:rsidRDefault="00BD1632" w:rsidP="0033264A">
            <w:pPr>
              <w:spacing w:after="0" w:line="240" w:lineRule="auto"/>
              <w:contextualSpacing w:val="0"/>
              <w:jc w:val="center"/>
              <w:rPr>
                <w:rFonts w:eastAsia="Times New Roman" w:cs="Arial"/>
                <w:b/>
                <w:i/>
                <w:color w:val="000000"/>
                <w:lang w:eastAsia="pt-BR"/>
              </w:rPr>
            </w:pPr>
            <w:r w:rsidRPr="008328EC">
              <w:rPr>
                <w:rFonts w:eastAsia="Times New Roman" w:cs="Arial"/>
                <w:b/>
                <w:i/>
                <w:color w:val="000000"/>
                <w:lang w:eastAsia="pt-BR"/>
              </w:rPr>
              <w:t>6 anos</w:t>
            </w:r>
          </w:p>
        </w:tc>
        <w:tc>
          <w:tcPr>
            <w:tcW w:w="1394" w:type="dxa"/>
            <w:tcBorders>
              <w:top w:val="nil"/>
              <w:left w:val="nil"/>
              <w:bottom w:val="single" w:sz="4" w:space="0" w:color="auto"/>
              <w:right w:val="nil"/>
            </w:tcBorders>
            <w:shd w:val="clear" w:color="auto" w:fill="auto"/>
            <w:noWrap/>
            <w:vAlign w:val="center"/>
            <w:hideMark/>
          </w:tcPr>
          <w:p w:rsidR="00BD1632" w:rsidRPr="008328EC" w:rsidRDefault="00BD1632" w:rsidP="0033264A">
            <w:pPr>
              <w:spacing w:after="0" w:line="240" w:lineRule="auto"/>
              <w:contextualSpacing w:val="0"/>
              <w:jc w:val="center"/>
              <w:rPr>
                <w:rFonts w:eastAsia="Times New Roman" w:cs="Arial"/>
                <w:b/>
                <w:i/>
                <w:color w:val="000000"/>
                <w:lang w:eastAsia="pt-BR"/>
              </w:rPr>
            </w:pPr>
            <w:r w:rsidRPr="008328EC">
              <w:rPr>
                <w:rFonts w:eastAsia="Times New Roman" w:cs="Arial"/>
                <w:b/>
                <w:i/>
                <w:color w:val="000000"/>
                <w:lang w:eastAsia="pt-BR"/>
              </w:rPr>
              <w:t>8 meses</w:t>
            </w:r>
          </w:p>
        </w:tc>
      </w:tr>
      <w:tr w:rsidR="00BD1632" w:rsidRPr="00BD1632" w:rsidTr="00BD1632">
        <w:trPr>
          <w:trHeight w:val="421"/>
        </w:trPr>
        <w:tc>
          <w:tcPr>
            <w:tcW w:w="2078" w:type="dxa"/>
            <w:gridSpan w:val="3"/>
            <w:tcBorders>
              <w:top w:val="single" w:sz="4" w:space="0" w:color="auto"/>
              <w:left w:val="nil"/>
              <w:bottom w:val="single" w:sz="4" w:space="0" w:color="auto"/>
              <w:right w:val="nil"/>
            </w:tcBorders>
            <w:shd w:val="clear" w:color="auto" w:fill="auto"/>
            <w:vAlign w:val="center"/>
            <w:hideMark/>
          </w:tcPr>
          <w:p w:rsidR="00BD1632" w:rsidRPr="00BD1632" w:rsidRDefault="00BD1632" w:rsidP="0033264A">
            <w:pPr>
              <w:spacing w:after="0" w:line="240" w:lineRule="auto"/>
              <w:contextualSpacing w:val="0"/>
              <w:jc w:val="center"/>
              <w:rPr>
                <w:rFonts w:eastAsia="Times New Roman" w:cs="Arial"/>
                <w:b/>
                <w:i/>
                <w:color w:val="000000"/>
                <w:lang w:eastAsia="pt-BR"/>
              </w:rPr>
            </w:pPr>
            <w:r w:rsidRPr="008328EC">
              <w:rPr>
                <w:rFonts w:eastAsia="Times New Roman" w:cs="Arial"/>
                <w:b/>
                <w:i/>
                <w:color w:val="000000"/>
                <w:lang w:eastAsia="pt-BR"/>
              </w:rPr>
              <w:t>TIR</w:t>
            </w:r>
          </w:p>
        </w:tc>
        <w:tc>
          <w:tcPr>
            <w:tcW w:w="1598" w:type="dxa"/>
            <w:gridSpan w:val="2"/>
            <w:tcBorders>
              <w:top w:val="single" w:sz="4" w:space="0" w:color="auto"/>
              <w:left w:val="nil"/>
              <w:bottom w:val="single" w:sz="4" w:space="0" w:color="auto"/>
              <w:right w:val="nil"/>
            </w:tcBorders>
            <w:shd w:val="clear" w:color="auto" w:fill="auto"/>
            <w:vAlign w:val="center"/>
          </w:tcPr>
          <w:p w:rsidR="00BD1632" w:rsidRPr="00BD1632" w:rsidRDefault="00BD1632" w:rsidP="0033264A">
            <w:pPr>
              <w:spacing w:after="0" w:line="240" w:lineRule="auto"/>
              <w:contextualSpacing w:val="0"/>
              <w:jc w:val="center"/>
              <w:rPr>
                <w:rFonts w:eastAsia="Times New Roman" w:cs="Arial"/>
                <w:b/>
                <w:i/>
                <w:color w:val="000000"/>
                <w:lang w:eastAsia="pt-BR"/>
              </w:rPr>
            </w:pPr>
            <w:r w:rsidRPr="008328EC">
              <w:rPr>
                <w:rFonts w:eastAsia="Times New Roman" w:cs="Arial"/>
                <w:b/>
                <w:i/>
                <w:color w:val="000000"/>
                <w:lang w:eastAsia="pt-BR"/>
              </w:rPr>
              <w:t>16,25%</w:t>
            </w:r>
          </w:p>
        </w:tc>
        <w:tc>
          <w:tcPr>
            <w:tcW w:w="2889" w:type="dxa"/>
            <w:gridSpan w:val="3"/>
            <w:tcBorders>
              <w:top w:val="single" w:sz="4" w:space="0" w:color="auto"/>
              <w:left w:val="nil"/>
              <w:bottom w:val="single" w:sz="4" w:space="0" w:color="auto"/>
              <w:right w:val="nil"/>
            </w:tcBorders>
            <w:shd w:val="clear" w:color="auto" w:fill="auto"/>
            <w:vAlign w:val="center"/>
          </w:tcPr>
          <w:p w:rsidR="00BD1632" w:rsidRPr="008328EC" w:rsidRDefault="00BD1632" w:rsidP="00BD1632">
            <w:pPr>
              <w:spacing w:after="0" w:line="240" w:lineRule="auto"/>
              <w:contextualSpacing w:val="0"/>
              <w:jc w:val="center"/>
              <w:rPr>
                <w:rFonts w:eastAsia="Times New Roman" w:cs="Arial"/>
                <w:b/>
                <w:i/>
                <w:color w:val="000000"/>
                <w:lang w:eastAsia="pt-BR"/>
              </w:rPr>
            </w:pPr>
            <w:r>
              <w:rPr>
                <w:rFonts w:eastAsia="Times New Roman" w:cs="Arial"/>
                <w:b/>
                <w:i/>
                <w:color w:val="000000"/>
                <w:lang w:eastAsia="pt-BR"/>
              </w:rPr>
              <w:t>Payback Descontado</w:t>
            </w:r>
          </w:p>
        </w:tc>
        <w:tc>
          <w:tcPr>
            <w:tcW w:w="1373" w:type="dxa"/>
            <w:tcBorders>
              <w:top w:val="single" w:sz="4" w:space="0" w:color="auto"/>
              <w:left w:val="nil"/>
              <w:bottom w:val="single" w:sz="4" w:space="0" w:color="auto"/>
              <w:right w:val="nil"/>
            </w:tcBorders>
            <w:shd w:val="clear" w:color="auto" w:fill="auto"/>
            <w:noWrap/>
            <w:vAlign w:val="center"/>
            <w:hideMark/>
          </w:tcPr>
          <w:p w:rsidR="00BD1632" w:rsidRPr="008328EC" w:rsidRDefault="00BD1632" w:rsidP="0033264A">
            <w:pPr>
              <w:spacing w:after="0" w:line="240" w:lineRule="auto"/>
              <w:contextualSpacing w:val="0"/>
              <w:jc w:val="center"/>
              <w:rPr>
                <w:rFonts w:eastAsia="Times New Roman" w:cs="Arial"/>
                <w:b/>
                <w:i/>
                <w:color w:val="000000"/>
                <w:lang w:eastAsia="pt-BR"/>
              </w:rPr>
            </w:pPr>
            <w:r w:rsidRPr="008328EC">
              <w:rPr>
                <w:rFonts w:eastAsia="Times New Roman" w:cs="Arial"/>
                <w:b/>
                <w:i/>
                <w:color w:val="000000"/>
                <w:lang w:eastAsia="pt-BR"/>
              </w:rPr>
              <w:t>10 anos</w:t>
            </w:r>
          </w:p>
        </w:tc>
        <w:tc>
          <w:tcPr>
            <w:tcW w:w="1394" w:type="dxa"/>
            <w:tcBorders>
              <w:top w:val="nil"/>
              <w:left w:val="nil"/>
              <w:bottom w:val="single" w:sz="4" w:space="0" w:color="auto"/>
              <w:right w:val="nil"/>
            </w:tcBorders>
            <w:shd w:val="clear" w:color="auto" w:fill="auto"/>
            <w:noWrap/>
            <w:vAlign w:val="center"/>
            <w:hideMark/>
          </w:tcPr>
          <w:p w:rsidR="00BD1632" w:rsidRPr="008328EC" w:rsidRDefault="00BD1632" w:rsidP="0033264A">
            <w:pPr>
              <w:spacing w:after="0" w:line="240" w:lineRule="auto"/>
              <w:contextualSpacing w:val="0"/>
              <w:jc w:val="center"/>
              <w:rPr>
                <w:rFonts w:eastAsia="Times New Roman" w:cs="Arial"/>
                <w:b/>
                <w:i/>
                <w:color w:val="000000"/>
                <w:lang w:eastAsia="pt-BR"/>
              </w:rPr>
            </w:pPr>
            <w:r w:rsidRPr="008328EC">
              <w:rPr>
                <w:rFonts w:eastAsia="Times New Roman" w:cs="Arial"/>
                <w:b/>
                <w:i/>
                <w:color w:val="000000"/>
                <w:lang w:eastAsia="pt-BR"/>
              </w:rPr>
              <w:t>8 meses</w:t>
            </w:r>
          </w:p>
        </w:tc>
      </w:tr>
    </w:tbl>
    <w:p w:rsidR="00026000" w:rsidRDefault="00026000" w:rsidP="00A017BA">
      <w:pPr>
        <w:jc w:val="center"/>
      </w:pPr>
      <w:r>
        <w:t>Fonte: Autoria própria</w:t>
      </w:r>
    </w:p>
    <w:p w:rsidR="008328EC" w:rsidRDefault="006B3ECB" w:rsidP="007F35EE">
      <w:pPr>
        <w:pStyle w:val="Nvel3-PG"/>
        <w:jc w:val="both"/>
      </w:pPr>
      <w:r>
        <w:t xml:space="preserve"> </w:t>
      </w:r>
    </w:p>
    <w:p w:rsidR="00A017BA" w:rsidRDefault="00A017BA" w:rsidP="007F35EE">
      <w:pPr>
        <w:pStyle w:val="Nvel3-PG"/>
        <w:jc w:val="both"/>
      </w:pPr>
    </w:p>
    <w:p w:rsidR="00A017BA" w:rsidRDefault="00A017BA" w:rsidP="007F35EE">
      <w:pPr>
        <w:pStyle w:val="Nvel3-PG"/>
        <w:jc w:val="both"/>
      </w:pPr>
    </w:p>
    <w:p w:rsidR="006B3ECB" w:rsidRDefault="006B3ECB" w:rsidP="00026000">
      <w:pPr>
        <w:pStyle w:val="Tabela-PG"/>
      </w:pPr>
      <w:bookmarkStart w:id="203" w:name="_Toc488706098"/>
      <w:r>
        <w:lastRenderedPageBreak/>
        <w:t xml:space="preserve">Tabela </w:t>
      </w:r>
      <w:fldSimple w:instr=" SEQ Tabela \* ARABIC ">
        <w:r w:rsidR="00C91A0F">
          <w:rPr>
            <w:noProof/>
          </w:rPr>
          <w:t>17</w:t>
        </w:r>
      </w:fldSimple>
      <w:r w:rsidR="00DB227D">
        <w:t xml:space="preserve"> - </w:t>
      </w:r>
      <w:r w:rsidRPr="00437835">
        <w:t xml:space="preserve">Fluxo de caixa e resultados de VPL, </w:t>
      </w:r>
      <w:r>
        <w:t xml:space="preserve">TIR e payback no cenário exigente </w:t>
      </w:r>
      <w:r w:rsidRPr="00437835">
        <w:t>para o caso completo.</w:t>
      </w:r>
      <w:bookmarkEnd w:id="203"/>
    </w:p>
    <w:tbl>
      <w:tblPr>
        <w:tblW w:w="9332" w:type="dxa"/>
        <w:tblCellMar>
          <w:left w:w="70" w:type="dxa"/>
          <w:right w:w="70" w:type="dxa"/>
        </w:tblCellMar>
        <w:tblLook w:val="04A0" w:firstRow="1" w:lastRow="0" w:firstColumn="1" w:lastColumn="0" w:noHBand="0" w:noVBand="1"/>
      </w:tblPr>
      <w:tblGrid>
        <w:gridCol w:w="529"/>
        <w:gridCol w:w="1096"/>
        <w:gridCol w:w="453"/>
        <w:gridCol w:w="721"/>
        <w:gridCol w:w="877"/>
        <w:gridCol w:w="430"/>
        <w:gridCol w:w="1168"/>
        <w:gridCol w:w="1291"/>
        <w:gridCol w:w="1373"/>
        <w:gridCol w:w="1394"/>
      </w:tblGrid>
      <w:tr w:rsidR="00BD1632" w:rsidRPr="00BD1632" w:rsidTr="006B3ECB">
        <w:trPr>
          <w:trHeight w:val="300"/>
        </w:trPr>
        <w:tc>
          <w:tcPr>
            <w:tcW w:w="1625" w:type="dxa"/>
            <w:gridSpan w:val="2"/>
            <w:tcBorders>
              <w:top w:val="single" w:sz="4" w:space="0" w:color="auto"/>
              <w:left w:val="nil"/>
              <w:bottom w:val="single" w:sz="4" w:space="0" w:color="auto"/>
              <w:right w:val="nil"/>
            </w:tcBorders>
            <w:shd w:val="clear" w:color="000000" w:fill="000000"/>
            <w:vAlign w:val="bottom"/>
            <w:hideMark/>
          </w:tcPr>
          <w:p w:rsidR="00BD1632" w:rsidRPr="008328EC" w:rsidRDefault="00BD1632" w:rsidP="006B3ECB">
            <w:pPr>
              <w:spacing w:after="0" w:line="240" w:lineRule="auto"/>
              <w:contextualSpacing w:val="0"/>
              <w:jc w:val="center"/>
              <w:rPr>
                <w:rFonts w:eastAsia="Times New Roman" w:cs="Arial"/>
                <w:b/>
                <w:bCs/>
                <w:i/>
                <w:iCs/>
                <w:color w:val="FFFFFF" w:themeColor="background1"/>
                <w:sz w:val="20"/>
                <w:szCs w:val="24"/>
                <w:lang w:eastAsia="pt-BR"/>
              </w:rPr>
            </w:pPr>
            <w:r w:rsidRPr="008328EC">
              <w:rPr>
                <w:rFonts w:eastAsia="Times New Roman" w:cs="Arial"/>
                <w:b/>
                <w:bCs/>
                <w:i/>
                <w:iCs/>
                <w:color w:val="FFFFFF" w:themeColor="background1"/>
                <w:sz w:val="20"/>
                <w:szCs w:val="24"/>
                <w:lang w:eastAsia="pt-BR"/>
              </w:rPr>
              <w:t xml:space="preserve">CENRÁRIO </w:t>
            </w:r>
            <w:r w:rsidR="006B3ECB">
              <w:rPr>
                <w:rFonts w:eastAsia="Times New Roman" w:cs="Arial"/>
                <w:b/>
                <w:bCs/>
                <w:i/>
                <w:iCs/>
                <w:color w:val="FFFFFF" w:themeColor="background1"/>
                <w:sz w:val="20"/>
                <w:szCs w:val="24"/>
                <w:lang w:eastAsia="pt-BR"/>
              </w:rPr>
              <w:t>EXIGENTE</w:t>
            </w:r>
          </w:p>
        </w:tc>
        <w:tc>
          <w:tcPr>
            <w:tcW w:w="1174" w:type="dxa"/>
            <w:gridSpan w:val="2"/>
            <w:tcBorders>
              <w:top w:val="single" w:sz="4" w:space="0" w:color="auto"/>
              <w:left w:val="nil"/>
              <w:bottom w:val="single" w:sz="4" w:space="0" w:color="auto"/>
              <w:right w:val="nil"/>
            </w:tcBorders>
            <w:shd w:val="clear" w:color="000000" w:fill="000000"/>
            <w:noWrap/>
            <w:vAlign w:val="center"/>
            <w:hideMark/>
          </w:tcPr>
          <w:p w:rsidR="00BD1632" w:rsidRPr="008328EC" w:rsidRDefault="00BD1632" w:rsidP="006B3ECB">
            <w:pPr>
              <w:spacing w:after="0" w:line="240" w:lineRule="auto"/>
              <w:contextualSpacing w:val="0"/>
              <w:jc w:val="center"/>
              <w:rPr>
                <w:rFonts w:eastAsia="Times New Roman" w:cs="Arial"/>
                <w:b/>
                <w:bCs/>
                <w:i/>
                <w:iCs/>
                <w:color w:val="FFFFFF" w:themeColor="background1"/>
                <w:sz w:val="20"/>
                <w:szCs w:val="24"/>
                <w:lang w:eastAsia="pt-BR"/>
              </w:rPr>
            </w:pPr>
            <w:r w:rsidRPr="008328EC">
              <w:rPr>
                <w:rFonts w:eastAsia="Times New Roman" w:cs="Arial"/>
                <w:b/>
                <w:bCs/>
                <w:i/>
                <w:iCs/>
                <w:color w:val="FFFFFF" w:themeColor="background1"/>
                <w:sz w:val="20"/>
                <w:szCs w:val="24"/>
                <w:lang w:eastAsia="pt-BR"/>
              </w:rPr>
              <w:t>INFLAÇÃO</w:t>
            </w:r>
          </w:p>
        </w:tc>
        <w:tc>
          <w:tcPr>
            <w:tcW w:w="1307" w:type="dxa"/>
            <w:gridSpan w:val="2"/>
            <w:tcBorders>
              <w:top w:val="single" w:sz="4" w:space="0" w:color="auto"/>
              <w:left w:val="nil"/>
              <w:bottom w:val="single" w:sz="4" w:space="0" w:color="auto"/>
              <w:right w:val="nil"/>
            </w:tcBorders>
            <w:shd w:val="clear" w:color="000000" w:fill="000000"/>
            <w:noWrap/>
            <w:vAlign w:val="center"/>
            <w:hideMark/>
          </w:tcPr>
          <w:p w:rsidR="00BD1632" w:rsidRPr="008328EC" w:rsidRDefault="00BD1632" w:rsidP="006B3ECB">
            <w:pPr>
              <w:spacing w:after="0" w:line="240" w:lineRule="auto"/>
              <w:contextualSpacing w:val="0"/>
              <w:jc w:val="center"/>
              <w:rPr>
                <w:rFonts w:eastAsia="Times New Roman" w:cs="Arial"/>
                <w:b/>
                <w:bCs/>
                <w:i/>
                <w:iCs/>
                <w:color w:val="FFFFFF" w:themeColor="background1"/>
                <w:sz w:val="20"/>
                <w:szCs w:val="24"/>
                <w:lang w:eastAsia="pt-BR"/>
              </w:rPr>
            </w:pPr>
            <w:r>
              <w:rPr>
                <w:rFonts w:eastAsia="Times New Roman" w:cs="Arial"/>
                <w:b/>
                <w:bCs/>
                <w:i/>
                <w:iCs/>
                <w:color w:val="FFFFFF" w:themeColor="background1"/>
                <w:sz w:val="20"/>
                <w:szCs w:val="24"/>
                <w:lang w:eastAsia="pt-BR"/>
              </w:rPr>
              <w:t>5,7</w:t>
            </w:r>
            <w:r w:rsidRPr="008328EC">
              <w:rPr>
                <w:rFonts w:eastAsia="Times New Roman" w:cs="Arial"/>
                <w:b/>
                <w:bCs/>
                <w:i/>
                <w:iCs/>
                <w:color w:val="FFFFFF" w:themeColor="background1"/>
                <w:sz w:val="20"/>
                <w:szCs w:val="24"/>
                <w:lang w:eastAsia="pt-BR"/>
              </w:rPr>
              <w:t>5%</w:t>
            </w:r>
          </w:p>
        </w:tc>
        <w:tc>
          <w:tcPr>
            <w:tcW w:w="1168" w:type="dxa"/>
            <w:tcBorders>
              <w:top w:val="single" w:sz="4" w:space="0" w:color="auto"/>
              <w:left w:val="nil"/>
              <w:bottom w:val="single" w:sz="4" w:space="0" w:color="auto"/>
              <w:right w:val="nil"/>
            </w:tcBorders>
            <w:shd w:val="clear" w:color="000000" w:fill="000000"/>
            <w:noWrap/>
            <w:vAlign w:val="center"/>
            <w:hideMark/>
          </w:tcPr>
          <w:p w:rsidR="00BD1632" w:rsidRPr="008328EC" w:rsidRDefault="00BD1632" w:rsidP="006B3ECB">
            <w:pPr>
              <w:spacing w:after="0" w:line="240" w:lineRule="auto"/>
              <w:contextualSpacing w:val="0"/>
              <w:jc w:val="center"/>
              <w:rPr>
                <w:rFonts w:eastAsia="Times New Roman" w:cs="Arial"/>
                <w:b/>
                <w:bCs/>
                <w:i/>
                <w:iCs/>
                <w:color w:val="FFFFFF" w:themeColor="background1"/>
                <w:sz w:val="20"/>
                <w:szCs w:val="24"/>
                <w:lang w:eastAsia="pt-BR"/>
              </w:rPr>
            </w:pPr>
            <w:r w:rsidRPr="008328EC">
              <w:rPr>
                <w:rFonts w:eastAsia="Times New Roman" w:cs="Arial"/>
                <w:b/>
                <w:bCs/>
                <w:i/>
                <w:iCs/>
                <w:color w:val="FFFFFF" w:themeColor="background1"/>
                <w:sz w:val="20"/>
                <w:szCs w:val="24"/>
                <w:lang w:eastAsia="pt-BR"/>
              </w:rPr>
              <w:t>TX</w:t>
            </w:r>
            <w:r w:rsidRPr="00BD1632">
              <w:rPr>
                <w:rFonts w:eastAsia="Times New Roman" w:cs="Arial"/>
                <w:b/>
                <w:bCs/>
                <w:i/>
                <w:iCs/>
                <w:color w:val="FFFFFF" w:themeColor="background1"/>
                <w:sz w:val="20"/>
                <w:szCs w:val="24"/>
                <w:lang w:eastAsia="pt-BR"/>
              </w:rPr>
              <w:t xml:space="preserve"> DESC.</w:t>
            </w:r>
          </w:p>
        </w:tc>
        <w:tc>
          <w:tcPr>
            <w:tcW w:w="1291" w:type="dxa"/>
            <w:tcBorders>
              <w:top w:val="single" w:sz="4" w:space="0" w:color="auto"/>
              <w:left w:val="nil"/>
              <w:bottom w:val="single" w:sz="4" w:space="0" w:color="auto"/>
              <w:right w:val="nil"/>
            </w:tcBorders>
            <w:shd w:val="clear" w:color="000000" w:fill="000000"/>
            <w:noWrap/>
            <w:vAlign w:val="center"/>
            <w:hideMark/>
          </w:tcPr>
          <w:p w:rsidR="00BD1632" w:rsidRPr="008328EC" w:rsidRDefault="00BD1632" w:rsidP="00BD1632">
            <w:pPr>
              <w:spacing w:after="0" w:line="240" w:lineRule="auto"/>
              <w:contextualSpacing w:val="0"/>
              <w:jc w:val="center"/>
              <w:rPr>
                <w:rFonts w:eastAsia="Times New Roman" w:cs="Arial"/>
                <w:b/>
                <w:bCs/>
                <w:i/>
                <w:iCs/>
                <w:color w:val="FFFFFF" w:themeColor="background1"/>
                <w:sz w:val="20"/>
                <w:szCs w:val="24"/>
                <w:lang w:eastAsia="pt-BR"/>
              </w:rPr>
            </w:pPr>
            <w:r w:rsidRPr="008328EC">
              <w:rPr>
                <w:rFonts w:eastAsia="Times New Roman" w:cs="Arial"/>
                <w:b/>
                <w:bCs/>
                <w:i/>
                <w:iCs/>
                <w:color w:val="FFFFFF" w:themeColor="background1"/>
                <w:sz w:val="20"/>
                <w:szCs w:val="24"/>
                <w:lang w:eastAsia="pt-BR"/>
              </w:rPr>
              <w:t>1</w:t>
            </w:r>
            <w:r>
              <w:rPr>
                <w:rFonts w:eastAsia="Times New Roman" w:cs="Arial"/>
                <w:b/>
                <w:bCs/>
                <w:i/>
                <w:iCs/>
                <w:color w:val="FFFFFF" w:themeColor="background1"/>
                <w:sz w:val="20"/>
                <w:szCs w:val="24"/>
                <w:lang w:eastAsia="pt-BR"/>
              </w:rPr>
              <w:t>4</w:t>
            </w:r>
            <w:r w:rsidRPr="008328EC">
              <w:rPr>
                <w:rFonts w:eastAsia="Times New Roman" w:cs="Arial"/>
                <w:b/>
                <w:bCs/>
                <w:i/>
                <w:iCs/>
                <w:color w:val="FFFFFF" w:themeColor="background1"/>
                <w:sz w:val="20"/>
                <w:szCs w:val="24"/>
                <w:lang w:eastAsia="pt-BR"/>
              </w:rPr>
              <w:t>,</w:t>
            </w:r>
            <w:r>
              <w:rPr>
                <w:rFonts w:eastAsia="Times New Roman" w:cs="Arial"/>
                <w:b/>
                <w:bCs/>
                <w:i/>
                <w:iCs/>
                <w:color w:val="FFFFFF" w:themeColor="background1"/>
                <w:sz w:val="20"/>
                <w:szCs w:val="24"/>
                <w:lang w:eastAsia="pt-BR"/>
              </w:rPr>
              <w:t>00</w:t>
            </w:r>
            <w:r w:rsidRPr="008328EC">
              <w:rPr>
                <w:rFonts w:eastAsia="Times New Roman" w:cs="Arial"/>
                <w:b/>
                <w:bCs/>
                <w:i/>
                <w:iCs/>
                <w:color w:val="FFFFFF" w:themeColor="background1"/>
                <w:sz w:val="20"/>
                <w:szCs w:val="24"/>
                <w:lang w:eastAsia="pt-BR"/>
              </w:rPr>
              <w:t>%</w:t>
            </w:r>
          </w:p>
        </w:tc>
        <w:tc>
          <w:tcPr>
            <w:tcW w:w="1373" w:type="dxa"/>
            <w:tcBorders>
              <w:top w:val="single" w:sz="4" w:space="0" w:color="auto"/>
              <w:left w:val="nil"/>
              <w:bottom w:val="single" w:sz="4" w:space="0" w:color="auto"/>
              <w:right w:val="nil"/>
            </w:tcBorders>
            <w:shd w:val="clear" w:color="000000" w:fill="000000"/>
            <w:noWrap/>
            <w:vAlign w:val="center"/>
            <w:hideMark/>
          </w:tcPr>
          <w:p w:rsidR="00BD1632" w:rsidRPr="008328EC" w:rsidRDefault="00BD1632" w:rsidP="006B3ECB">
            <w:pPr>
              <w:spacing w:after="0" w:line="240" w:lineRule="auto"/>
              <w:contextualSpacing w:val="0"/>
              <w:jc w:val="center"/>
              <w:rPr>
                <w:rFonts w:eastAsia="Times New Roman" w:cs="Arial"/>
                <w:b/>
                <w:bCs/>
                <w:i/>
                <w:iCs/>
                <w:color w:val="FFFFFF" w:themeColor="background1"/>
                <w:sz w:val="20"/>
                <w:szCs w:val="24"/>
                <w:lang w:eastAsia="pt-BR"/>
              </w:rPr>
            </w:pPr>
            <w:r w:rsidRPr="008328EC">
              <w:rPr>
                <w:rFonts w:eastAsia="Times New Roman" w:cs="Arial"/>
                <w:b/>
                <w:bCs/>
                <w:i/>
                <w:iCs/>
                <w:color w:val="FFFFFF" w:themeColor="background1"/>
                <w:sz w:val="20"/>
                <w:szCs w:val="24"/>
                <w:lang w:eastAsia="pt-BR"/>
              </w:rPr>
              <w:t>DÓLAR</w:t>
            </w:r>
          </w:p>
        </w:tc>
        <w:tc>
          <w:tcPr>
            <w:tcW w:w="1394" w:type="dxa"/>
            <w:tcBorders>
              <w:top w:val="single" w:sz="4" w:space="0" w:color="auto"/>
              <w:left w:val="nil"/>
              <w:bottom w:val="single" w:sz="4" w:space="0" w:color="auto"/>
              <w:right w:val="nil"/>
            </w:tcBorders>
            <w:shd w:val="clear" w:color="000000" w:fill="000000"/>
            <w:noWrap/>
            <w:vAlign w:val="center"/>
            <w:hideMark/>
          </w:tcPr>
          <w:p w:rsidR="00BD1632" w:rsidRPr="008328EC" w:rsidRDefault="00BD1632" w:rsidP="00BD1632">
            <w:pPr>
              <w:spacing w:after="0" w:line="240" w:lineRule="auto"/>
              <w:contextualSpacing w:val="0"/>
              <w:jc w:val="center"/>
              <w:rPr>
                <w:rFonts w:eastAsia="Times New Roman" w:cs="Arial"/>
                <w:b/>
                <w:bCs/>
                <w:i/>
                <w:iCs/>
                <w:color w:val="FFFFFF" w:themeColor="background1"/>
                <w:sz w:val="20"/>
                <w:szCs w:val="24"/>
                <w:lang w:eastAsia="pt-BR"/>
              </w:rPr>
            </w:pPr>
            <w:r w:rsidRPr="00BD1632">
              <w:rPr>
                <w:rFonts w:eastAsia="Times New Roman" w:cs="Arial"/>
                <w:b/>
                <w:bCs/>
                <w:i/>
                <w:iCs/>
                <w:color w:val="FFFFFF" w:themeColor="background1"/>
                <w:sz w:val="20"/>
                <w:szCs w:val="24"/>
                <w:lang w:eastAsia="pt-BR"/>
              </w:rPr>
              <w:t xml:space="preserve">R$ </w:t>
            </w:r>
            <w:r>
              <w:rPr>
                <w:rFonts w:eastAsia="Times New Roman" w:cs="Arial"/>
                <w:b/>
                <w:bCs/>
                <w:i/>
                <w:iCs/>
                <w:color w:val="FFFFFF" w:themeColor="background1"/>
                <w:sz w:val="20"/>
                <w:szCs w:val="24"/>
                <w:lang w:eastAsia="pt-BR"/>
              </w:rPr>
              <w:t>4</w:t>
            </w:r>
            <w:r w:rsidRPr="008328EC">
              <w:rPr>
                <w:rFonts w:eastAsia="Times New Roman" w:cs="Arial"/>
                <w:b/>
                <w:bCs/>
                <w:i/>
                <w:iCs/>
                <w:color w:val="FFFFFF" w:themeColor="background1"/>
                <w:sz w:val="20"/>
                <w:szCs w:val="24"/>
                <w:lang w:eastAsia="pt-BR"/>
              </w:rPr>
              <w:t>,</w:t>
            </w:r>
            <w:r>
              <w:rPr>
                <w:rFonts w:eastAsia="Times New Roman" w:cs="Arial"/>
                <w:b/>
                <w:bCs/>
                <w:i/>
                <w:iCs/>
                <w:color w:val="FFFFFF" w:themeColor="background1"/>
                <w:sz w:val="20"/>
                <w:szCs w:val="24"/>
                <w:lang w:eastAsia="pt-BR"/>
              </w:rPr>
              <w:t>24</w:t>
            </w:r>
          </w:p>
        </w:tc>
      </w:tr>
      <w:tr w:rsidR="00BD1632" w:rsidRPr="00BD1632" w:rsidTr="006B3ECB">
        <w:trPr>
          <w:trHeight w:val="900"/>
        </w:trPr>
        <w:tc>
          <w:tcPr>
            <w:tcW w:w="529" w:type="dxa"/>
            <w:tcBorders>
              <w:top w:val="nil"/>
              <w:left w:val="nil"/>
              <w:bottom w:val="single" w:sz="4" w:space="0" w:color="auto"/>
              <w:right w:val="nil"/>
            </w:tcBorders>
            <w:shd w:val="clear" w:color="auto" w:fill="auto"/>
            <w:vAlign w:val="center"/>
            <w:hideMark/>
          </w:tcPr>
          <w:p w:rsidR="00BD1632" w:rsidRPr="008328EC" w:rsidRDefault="00BD1632" w:rsidP="006B3ECB">
            <w:pPr>
              <w:spacing w:after="0" w:line="240" w:lineRule="auto"/>
              <w:contextualSpacing w:val="0"/>
              <w:jc w:val="center"/>
              <w:rPr>
                <w:rFonts w:eastAsia="Times New Roman" w:cs="Arial"/>
                <w:b/>
                <w:bCs/>
                <w:i/>
                <w:iCs/>
                <w:color w:val="000000"/>
                <w:sz w:val="20"/>
                <w:szCs w:val="24"/>
                <w:lang w:eastAsia="pt-BR"/>
              </w:rPr>
            </w:pPr>
            <w:r w:rsidRPr="008328EC">
              <w:rPr>
                <w:rFonts w:eastAsia="Times New Roman" w:cs="Arial"/>
                <w:b/>
                <w:bCs/>
                <w:i/>
                <w:iCs/>
                <w:color w:val="000000"/>
                <w:sz w:val="20"/>
                <w:szCs w:val="24"/>
                <w:lang w:eastAsia="pt-BR"/>
              </w:rPr>
              <w:t>Ano</w:t>
            </w:r>
          </w:p>
        </w:tc>
        <w:tc>
          <w:tcPr>
            <w:tcW w:w="1096" w:type="dxa"/>
            <w:tcBorders>
              <w:top w:val="nil"/>
              <w:left w:val="nil"/>
              <w:bottom w:val="single" w:sz="4" w:space="0" w:color="auto"/>
              <w:right w:val="nil"/>
            </w:tcBorders>
            <w:shd w:val="clear" w:color="auto" w:fill="auto"/>
            <w:vAlign w:val="center"/>
            <w:hideMark/>
          </w:tcPr>
          <w:p w:rsidR="00BD1632" w:rsidRPr="00BD1632" w:rsidRDefault="00BD1632" w:rsidP="006B3ECB">
            <w:pPr>
              <w:spacing w:after="0" w:line="240" w:lineRule="auto"/>
              <w:contextualSpacing w:val="0"/>
              <w:jc w:val="center"/>
              <w:rPr>
                <w:rFonts w:eastAsia="Times New Roman" w:cs="Arial"/>
                <w:b/>
                <w:bCs/>
                <w:i/>
                <w:iCs/>
                <w:color w:val="000000"/>
                <w:sz w:val="20"/>
                <w:szCs w:val="24"/>
                <w:lang w:eastAsia="pt-BR"/>
              </w:rPr>
            </w:pPr>
            <w:r w:rsidRPr="00BD1632">
              <w:rPr>
                <w:rFonts w:eastAsia="Times New Roman" w:cs="Arial"/>
                <w:b/>
                <w:bCs/>
                <w:i/>
                <w:iCs/>
                <w:color w:val="000000"/>
                <w:sz w:val="20"/>
                <w:szCs w:val="24"/>
                <w:lang w:eastAsia="pt-BR"/>
              </w:rPr>
              <w:t xml:space="preserve">Economia </w:t>
            </w:r>
            <w:r w:rsidRPr="008328EC">
              <w:rPr>
                <w:rFonts w:eastAsia="Times New Roman" w:cs="Arial"/>
                <w:b/>
                <w:bCs/>
                <w:i/>
                <w:iCs/>
                <w:color w:val="000000"/>
                <w:sz w:val="20"/>
                <w:szCs w:val="24"/>
                <w:lang w:eastAsia="pt-BR"/>
              </w:rPr>
              <w:t>energia</w:t>
            </w:r>
          </w:p>
          <w:p w:rsidR="00BD1632" w:rsidRPr="008328EC" w:rsidRDefault="00BD1632" w:rsidP="006B3ECB">
            <w:pPr>
              <w:spacing w:after="0" w:line="240" w:lineRule="auto"/>
              <w:contextualSpacing w:val="0"/>
              <w:jc w:val="center"/>
              <w:rPr>
                <w:rFonts w:eastAsia="Times New Roman" w:cs="Arial"/>
                <w:b/>
                <w:bCs/>
                <w:i/>
                <w:iCs/>
                <w:color w:val="000000"/>
                <w:sz w:val="20"/>
                <w:szCs w:val="24"/>
                <w:lang w:eastAsia="pt-BR"/>
              </w:rPr>
            </w:pPr>
            <w:r w:rsidRPr="00BD1632">
              <w:rPr>
                <w:rFonts w:eastAsia="Times New Roman" w:cs="Arial"/>
                <w:b/>
                <w:bCs/>
                <w:i/>
                <w:iCs/>
                <w:color w:val="000000"/>
                <w:sz w:val="20"/>
                <w:szCs w:val="24"/>
                <w:lang w:eastAsia="pt-BR"/>
              </w:rPr>
              <w:t>(R$)</w:t>
            </w:r>
          </w:p>
        </w:tc>
        <w:tc>
          <w:tcPr>
            <w:tcW w:w="1174" w:type="dxa"/>
            <w:gridSpan w:val="2"/>
            <w:tcBorders>
              <w:top w:val="nil"/>
              <w:left w:val="nil"/>
              <w:bottom w:val="single" w:sz="4" w:space="0" w:color="auto"/>
              <w:right w:val="nil"/>
            </w:tcBorders>
            <w:shd w:val="clear" w:color="auto" w:fill="auto"/>
            <w:vAlign w:val="center"/>
            <w:hideMark/>
          </w:tcPr>
          <w:p w:rsidR="00BD1632" w:rsidRPr="008328EC" w:rsidRDefault="00BD1632" w:rsidP="006B3ECB">
            <w:pPr>
              <w:spacing w:after="0" w:line="240" w:lineRule="auto"/>
              <w:contextualSpacing w:val="0"/>
              <w:jc w:val="center"/>
              <w:rPr>
                <w:rFonts w:eastAsia="Times New Roman" w:cs="Arial"/>
                <w:b/>
                <w:bCs/>
                <w:i/>
                <w:iCs/>
                <w:color w:val="000000"/>
                <w:sz w:val="20"/>
                <w:szCs w:val="24"/>
                <w:lang w:eastAsia="pt-BR"/>
              </w:rPr>
            </w:pPr>
            <w:r w:rsidRPr="00BD1632">
              <w:rPr>
                <w:rFonts w:eastAsia="Times New Roman" w:cs="Arial"/>
                <w:b/>
                <w:bCs/>
                <w:i/>
                <w:iCs/>
                <w:color w:val="000000"/>
                <w:sz w:val="20"/>
                <w:szCs w:val="24"/>
                <w:lang w:eastAsia="pt-BR"/>
              </w:rPr>
              <w:t>Custo</w:t>
            </w:r>
            <w:r w:rsidRPr="008328EC">
              <w:rPr>
                <w:rFonts w:eastAsia="Times New Roman" w:cs="Arial"/>
                <w:b/>
                <w:bCs/>
                <w:i/>
                <w:iCs/>
                <w:color w:val="000000"/>
                <w:sz w:val="20"/>
                <w:szCs w:val="24"/>
                <w:lang w:eastAsia="pt-BR"/>
              </w:rPr>
              <w:t xml:space="preserve"> Polímero</w:t>
            </w:r>
            <w:r w:rsidRPr="00BD1632">
              <w:rPr>
                <w:rFonts w:eastAsia="Times New Roman" w:cs="Arial"/>
                <w:b/>
                <w:bCs/>
                <w:i/>
                <w:iCs/>
                <w:color w:val="000000"/>
                <w:sz w:val="20"/>
                <w:szCs w:val="24"/>
                <w:lang w:eastAsia="pt-BR"/>
              </w:rPr>
              <w:t xml:space="preserve"> (R$)</w:t>
            </w:r>
          </w:p>
        </w:tc>
        <w:tc>
          <w:tcPr>
            <w:tcW w:w="1307" w:type="dxa"/>
            <w:gridSpan w:val="2"/>
            <w:tcBorders>
              <w:top w:val="nil"/>
              <w:left w:val="nil"/>
              <w:bottom w:val="single" w:sz="4" w:space="0" w:color="auto"/>
              <w:right w:val="nil"/>
            </w:tcBorders>
            <w:shd w:val="clear" w:color="auto" w:fill="auto"/>
            <w:vAlign w:val="center"/>
            <w:hideMark/>
          </w:tcPr>
          <w:p w:rsidR="00BD1632" w:rsidRPr="008328EC" w:rsidRDefault="00BD1632" w:rsidP="006B3ECB">
            <w:pPr>
              <w:spacing w:after="0" w:line="240" w:lineRule="auto"/>
              <w:contextualSpacing w:val="0"/>
              <w:jc w:val="center"/>
              <w:rPr>
                <w:rFonts w:eastAsia="Times New Roman" w:cs="Arial"/>
                <w:b/>
                <w:bCs/>
                <w:i/>
                <w:iCs/>
                <w:color w:val="000000"/>
                <w:sz w:val="20"/>
                <w:szCs w:val="24"/>
                <w:lang w:eastAsia="pt-BR"/>
              </w:rPr>
            </w:pPr>
            <w:r w:rsidRPr="008328EC">
              <w:rPr>
                <w:rFonts w:eastAsia="Times New Roman" w:cs="Arial"/>
                <w:b/>
                <w:bCs/>
                <w:i/>
                <w:iCs/>
                <w:color w:val="000000"/>
                <w:sz w:val="20"/>
                <w:szCs w:val="24"/>
                <w:lang w:eastAsia="pt-BR"/>
              </w:rPr>
              <w:t>Manutenção e operação</w:t>
            </w:r>
            <w:r w:rsidRPr="00BD1632">
              <w:rPr>
                <w:rFonts w:eastAsia="Times New Roman" w:cs="Arial"/>
                <w:b/>
                <w:bCs/>
                <w:i/>
                <w:iCs/>
                <w:color w:val="000000"/>
                <w:sz w:val="20"/>
                <w:szCs w:val="24"/>
                <w:lang w:eastAsia="pt-BR"/>
              </w:rPr>
              <w:t xml:space="preserve"> (R$)</w:t>
            </w:r>
          </w:p>
        </w:tc>
        <w:tc>
          <w:tcPr>
            <w:tcW w:w="1168" w:type="dxa"/>
            <w:tcBorders>
              <w:top w:val="nil"/>
              <w:left w:val="nil"/>
              <w:bottom w:val="single" w:sz="4" w:space="0" w:color="auto"/>
              <w:right w:val="nil"/>
            </w:tcBorders>
            <w:shd w:val="clear" w:color="auto" w:fill="auto"/>
            <w:vAlign w:val="center"/>
            <w:hideMark/>
          </w:tcPr>
          <w:p w:rsidR="00BD1632" w:rsidRPr="00BD1632" w:rsidRDefault="00BD1632" w:rsidP="006B3ECB">
            <w:pPr>
              <w:spacing w:after="0" w:line="240" w:lineRule="auto"/>
              <w:contextualSpacing w:val="0"/>
              <w:jc w:val="center"/>
              <w:rPr>
                <w:rFonts w:eastAsia="Times New Roman" w:cs="Arial"/>
                <w:b/>
                <w:bCs/>
                <w:i/>
                <w:iCs/>
                <w:color w:val="000000"/>
                <w:sz w:val="20"/>
                <w:szCs w:val="24"/>
                <w:lang w:eastAsia="pt-BR"/>
              </w:rPr>
            </w:pPr>
            <w:r w:rsidRPr="008328EC">
              <w:rPr>
                <w:rFonts w:eastAsia="Times New Roman" w:cs="Arial"/>
                <w:b/>
                <w:bCs/>
                <w:i/>
                <w:iCs/>
                <w:color w:val="000000"/>
                <w:sz w:val="20"/>
                <w:szCs w:val="24"/>
                <w:lang w:eastAsia="pt-BR"/>
              </w:rPr>
              <w:t>Fluxo de Caixa</w:t>
            </w:r>
            <w:r w:rsidRPr="00BD1632">
              <w:rPr>
                <w:rFonts w:eastAsia="Times New Roman" w:cs="Arial"/>
                <w:b/>
                <w:bCs/>
                <w:i/>
                <w:iCs/>
                <w:color w:val="000000"/>
                <w:sz w:val="20"/>
                <w:szCs w:val="24"/>
                <w:lang w:eastAsia="pt-BR"/>
              </w:rPr>
              <w:t xml:space="preserve"> </w:t>
            </w:r>
          </w:p>
          <w:p w:rsidR="00BD1632" w:rsidRPr="008328EC" w:rsidRDefault="00BD1632" w:rsidP="006B3ECB">
            <w:pPr>
              <w:spacing w:after="0" w:line="240" w:lineRule="auto"/>
              <w:contextualSpacing w:val="0"/>
              <w:jc w:val="center"/>
              <w:rPr>
                <w:rFonts w:eastAsia="Times New Roman" w:cs="Arial"/>
                <w:b/>
                <w:bCs/>
                <w:i/>
                <w:iCs/>
                <w:color w:val="000000"/>
                <w:sz w:val="20"/>
                <w:szCs w:val="24"/>
                <w:lang w:eastAsia="pt-BR"/>
              </w:rPr>
            </w:pPr>
            <w:r w:rsidRPr="00BD1632">
              <w:rPr>
                <w:rFonts w:eastAsia="Times New Roman" w:cs="Arial"/>
                <w:b/>
                <w:bCs/>
                <w:i/>
                <w:iCs/>
                <w:color w:val="000000"/>
                <w:sz w:val="20"/>
                <w:szCs w:val="24"/>
                <w:lang w:eastAsia="pt-BR"/>
              </w:rPr>
              <w:t>(R$)</w:t>
            </w:r>
          </w:p>
        </w:tc>
        <w:tc>
          <w:tcPr>
            <w:tcW w:w="1291" w:type="dxa"/>
            <w:tcBorders>
              <w:top w:val="nil"/>
              <w:left w:val="nil"/>
              <w:bottom w:val="single" w:sz="4" w:space="0" w:color="auto"/>
              <w:right w:val="nil"/>
            </w:tcBorders>
            <w:shd w:val="clear" w:color="auto" w:fill="auto"/>
            <w:vAlign w:val="center"/>
            <w:hideMark/>
          </w:tcPr>
          <w:p w:rsidR="00BD1632" w:rsidRPr="008328EC" w:rsidRDefault="00BD1632" w:rsidP="006B3ECB">
            <w:pPr>
              <w:spacing w:after="0" w:line="240" w:lineRule="auto"/>
              <w:contextualSpacing w:val="0"/>
              <w:jc w:val="center"/>
              <w:rPr>
                <w:rFonts w:eastAsia="Times New Roman" w:cs="Arial"/>
                <w:b/>
                <w:bCs/>
                <w:i/>
                <w:iCs/>
                <w:color w:val="000000"/>
                <w:sz w:val="20"/>
                <w:szCs w:val="24"/>
                <w:lang w:eastAsia="pt-BR"/>
              </w:rPr>
            </w:pPr>
            <w:r w:rsidRPr="008328EC">
              <w:rPr>
                <w:rFonts w:eastAsia="Times New Roman" w:cs="Arial"/>
                <w:b/>
                <w:bCs/>
                <w:i/>
                <w:iCs/>
                <w:color w:val="000000"/>
                <w:sz w:val="20"/>
                <w:szCs w:val="24"/>
                <w:lang w:eastAsia="pt-BR"/>
              </w:rPr>
              <w:t>Fluxo de Caixa Ac</w:t>
            </w:r>
            <w:r w:rsidRPr="00BD1632">
              <w:rPr>
                <w:rFonts w:eastAsia="Times New Roman" w:cs="Arial"/>
                <w:b/>
                <w:bCs/>
                <w:i/>
                <w:iCs/>
                <w:color w:val="000000"/>
                <w:sz w:val="20"/>
                <w:szCs w:val="24"/>
                <w:lang w:eastAsia="pt-BR"/>
              </w:rPr>
              <w:t>m. (R$)</w:t>
            </w:r>
          </w:p>
        </w:tc>
        <w:tc>
          <w:tcPr>
            <w:tcW w:w="1373" w:type="dxa"/>
            <w:tcBorders>
              <w:top w:val="nil"/>
              <w:left w:val="nil"/>
              <w:bottom w:val="single" w:sz="4" w:space="0" w:color="auto"/>
              <w:right w:val="nil"/>
            </w:tcBorders>
            <w:shd w:val="clear" w:color="auto" w:fill="auto"/>
            <w:vAlign w:val="center"/>
            <w:hideMark/>
          </w:tcPr>
          <w:p w:rsidR="00BD1632" w:rsidRPr="00BD1632" w:rsidRDefault="00BD1632" w:rsidP="006B3ECB">
            <w:pPr>
              <w:spacing w:after="0" w:line="240" w:lineRule="auto"/>
              <w:contextualSpacing w:val="0"/>
              <w:jc w:val="center"/>
              <w:rPr>
                <w:rFonts w:eastAsia="Times New Roman" w:cs="Arial"/>
                <w:b/>
                <w:bCs/>
                <w:i/>
                <w:iCs/>
                <w:color w:val="000000"/>
                <w:sz w:val="20"/>
                <w:szCs w:val="24"/>
                <w:lang w:eastAsia="pt-BR"/>
              </w:rPr>
            </w:pPr>
            <w:r>
              <w:rPr>
                <w:rFonts w:eastAsia="Times New Roman" w:cs="Arial"/>
                <w:b/>
                <w:bCs/>
                <w:i/>
                <w:iCs/>
                <w:color w:val="000000"/>
                <w:sz w:val="20"/>
                <w:szCs w:val="24"/>
                <w:lang w:eastAsia="pt-BR"/>
              </w:rPr>
              <w:t xml:space="preserve">Fluxo de Caixa </w:t>
            </w:r>
            <w:r w:rsidRPr="008328EC">
              <w:rPr>
                <w:rFonts w:eastAsia="Times New Roman" w:cs="Arial"/>
                <w:b/>
                <w:bCs/>
                <w:i/>
                <w:iCs/>
                <w:color w:val="000000"/>
                <w:sz w:val="20"/>
                <w:szCs w:val="24"/>
                <w:lang w:eastAsia="pt-BR"/>
              </w:rPr>
              <w:t>Desc</w:t>
            </w:r>
            <w:r w:rsidRPr="00BD1632">
              <w:rPr>
                <w:rFonts w:eastAsia="Times New Roman" w:cs="Arial"/>
                <w:b/>
                <w:bCs/>
                <w:i/>
                <w:iCs/>
                <w:color w:val="000000"/>
                <w:sz w:val="20"/>
                <w:szCs w:val="24"/>
                <w:lang w:eastAsia="pt-BR"/>
              </w:rPr>
              <w:t>.</w:t>
            </w:r>
          </w:p>
          <w:p w:rsidR="00BD1632" w:rsidRPr="008328EC" w:rsidRDefault="00BD1632" w:rsidP="006B3ECB">
            <w:pPr>
              <w:spacing w:after="0" w:line="240" w:lineRule="auto"/>
              <w:contextualSpacing w:val="0"/>
              <w:jc w:val="center"/>
              <w:rPr>
                <w:rFonts w:eastAsia="Times New Roman" w:cs="Arial"/>
                <w:b/>
                <w:bCs/>
                <w:i/>
                <w:iCs/>
                <w:color w:val="000000"/>
                <w:sz w:val="20"/>
                <w:szCs w:val="24"/>
                <w:lang w:eastAsia="pt-BR"/>
              </w:rPr>
            </w:pPr>
            <w:r w:rsidRPr="00BD1632">
              <w:rPr>
                <w:rFonts w:eastAsia="Times New Roman" w:cs="Arial"/>
                <w:b/>
                <w:bCs/>
                <w:i/>
                <w:iCs/>
                <w:color w:val="000000"/>
                <w:sz w:val="20"/>
                <w:szCs w:val="24"/>
                <w:lang w:eastAsia="pt-BR"/>
              </w:rPr>
              <w:t>(R$)</w:t>
            </w:r>
          </w:p>
        </w:tc>
        <w:tc>
          <w:tcPr>
            <w:tcW w:w="1394" w:type="dxa"/>
            <w:tcBorders>
              <w:top w:val="nil"/>
              <w:left w:val="nil"/>
              <w:bottom w:val="single" w:sz="4" w:space="0" w:color="auto"/>
              <w:right w:val="nil"/>
            </w:tcBorders>
            <w:shd w:val="clear" w:color="auto" w:fill="auto"/>
            <w:vAlign w:val="center"/>
            <w:hideMark/>
          </w:tcPr>
          <w:p w:rsidR="00BD1632" w:rsidRPr="008328EC" w:rsidRDefault="00BD1632" w:rsidP="006B3ECB">
            <w:pPr>
              <w:spacing w:after="0" w:line="240" w:lineRule="auto"/>
              <w:contextualSpacing w:val="0"/>
              <w:jc w:val="center"/>
              <w:rPr>
                <w:rFonts w:eastAsia="Times New Roman" w:cs="Arial"/>
                <w:b/>
                <w:bCs/>
                <w:i/>
                <w:iCs/>
                <w:color w:val="000000"/>
                <w:sz w:val="20"/>
                <w:szCs w:val="24"/>
                <w:lang w:eastAsia="pt-BR"/>
              </w:rPr>
            </w:pPr>
            <w:r w:rsidRPr="008328EC">
              <w:rPr>
                <w:rFonts w:eastAsia="Times New Roman" w:cs="Arial"/>
                <w:b/>
                <w:bCs/>
                <w:i/>
                <w:iCs/>
                <w:color w:val="000000"/>
                <w:sz w:val="20"/>
                <w:szCs w:val="24"/>
                <w:lang w:eastAsia="pt-BR"/>
              </w:rPr>
              <w:t>Fluxo de Caixa Desc</w:t>
            </w:r>
            <w:r w:rsidRPr="00BD1632">
              <w:rPr>
                <w:rFonts w:eastAsia="Times New Roman" w:cs="Arial"/>
                <w:b/>
                <w:bCs/>
                <w:i/>
                <w:iCs/>
                <w:color w:val="000000"/>
                <w:sz w:val="20"/>
                <w:szCs w:val="24"/>
                <w:lang w:eastAsia="pt-BR"/>
              </w:rPr>
              <w:t>. Acm. (R$)</w:t>
            </w:r>
          </w:p>
        </w:tc>
      </w:tr>
      <w:tr w:rsidR="00BD1632" w:rsidRPr="008328EC" w:rsidTr="006B3ECB">
        <w:trPr>
          <w:trHeight w:val="300"/>
        </w:trPr>
        <w:tc>
          <w:tcPr>
            <w:tcW w:w="529" w:type="dxa"/>
            <w:tcBorders>
              <w:top w:val="nil"/>
              <w:left w:val="nil"/>
              <w:bottom w:val="single" w:sz="4" w:space="0" w:color="auto"/>
              <w:right w:val="nil"/>
            </w:tcBorders>
            <w:shd w:val="clear" w:color="auto" w:fill="auto"/>
            <w:noWrap/>
            <w:vAlign w:val="center"/>
            <w:hideMark/>
          </w:tcPr>
          <w:p w:rsidR="00BD1632" w:rsidRDefault="00BD1632" w:rsidP="00BD1632">
            <w:pPr>
              <w:spacing w:after="0" w:line="240" w:lineRule="auto"/>
              <w:contextualSpacing w:val="0"/>
              <w:jc w:val="center"/>
              <w:rPr>
                <w:rFonts w:ascii="Calibri" w:hAnsi="Calibri"/>
                <w:color w:val="000000"/>
                <w:sz w:val="22"/>
              </w:rPr>
            </w:pPr>
            <w:r>
              <w:rPr>
                <w:rFonts w:ascii="Calibri" w:hAnsi="Calibri"/>
                <w:color w:val="000000"/>
                <w:sz w:val="22"/>
              </w:rPr>
              <w:t>0</w:t>
            </w:r>
          </w:p>
        </w:tc>
        <w:tc>
          <w:tcPr>
            <w:tcW w:w="1096"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w:t>
            </w:r>
          </w:p>
        </w:tc>
        <w:tc>
          <w:tcPr>
            <w:tcW w:w="1174" w:type="dxa"/>
            <w:gridSpan w:val="2"/>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w:t>
            </w:r>
          </w:p>
        </w:tc>
        <w:tc>
          <w:tcPr>
            <w:tcW w:w="1307" w:type="dxa"/>
            <w:gridSpan w:val="2"/>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w:t>
            </w:r>
          </w:p>
        </w:tc>
        <w:tc>
          <w:tcPr>
            <w:tcW w:w="1168" w:type="dxa"/>
            <w:tcBorders>
              <w:top w:val="nil"/>
              <w:left w:val="nil"/>
              <w:bottom w:val="single" w:sz="4" w:space="0" w:color="auto"/>
              <w:right w:val="nil"/>
            </w:tcBorders>
            <w:shd w:val="clear" w:color="auto" w:fill="auto"/>
            <w:noWrap/>
            <w:vAlign w:val="center"/>
            <w:hideMark/>
          </w:tcPr>
          <w:p w:rsidR="00BD1632" w:rsidRPr="00BD1632" w:rsidRDefault="00BD1632" w:rsidP="00BD1632">
            <w:pPr>
              <w:jc w:val="center"/>
              <w:rPr>
                <w:rFonts w:ascii="Calibri" w:hAnsi="Calibri"/>
                <w:color w:val="FF0000"/>
                <w:sz w:val="22"/>
              </w:rPr>
            </w:pPr>
            <w:r w:rsidRPr="00BD1632">
              <w:rPr>
                <w:rFonts w:ascii="Calibri" w:hAnsi="Calibri"/>
                <w:color w:val="FF0000"/>
                <w:sz w:val="22"/>
              </w:rPr>
              <w:t>-19.899,00</w:t>
            </w:r>
          </w:p>
        </w:tc>
        <w:tc>
          <w:tcPr>
            <w:tcW w:w="1291" w:type="dxa"/>
            <w:tcBorders>
              <w:top w:val="nil"/>
              <w:left w:val="nil"/>
              <w:bottom w:val="single" w:sz="4" w:space="0" w:color="auto"/>
              <w:right w:val="nil"/>
            </w:tcBorders>
            <w:shd w:val="clear" w:color="auto" w:fill="auto"/>
            <w:noWrap/>
            <w:vAlign w:val="center"/>
            <w:hideMark/>
          </w:tcPr>
          <w:p w:rsidR="00BD1632" w:rsidRPr="00BD1632" w:rsidRDefault="00BD1632" w:rsidP="00BD1632">
            <w:pPr>
              <w:jc w:val="center"/>
              <w:rPr>
                <w:rFonts w:ascii="Calibri" w:hAnsi="Calibri"/>
                <w:color w:val="FF0000"/>
                <w:sz w:val="22"/>
              </w:rPr>
            </w:pPr>
            <w:r w:rsidRPr="00BD1632">
              <w:rPr>
                <w:rFonts w:ascii="Calibri" w:hAnsi="Calibri"/>
                <w:color w:val="FF0000"/>
                <w:sz w:val="22"/>
              </w:rPr>
              <w:t>-19.899,00</w:t>
            </w:r>
          </w:p>
        </w:tc>
        <w:tc>
          <w:tcPr>
            <w:tcW w:w="1373" w:type="dxa"/>
            <w:tcBorders>
              <w:top w:val="nil"/>
              <w:left w:val="nil"/>
              <w:bottom w:val="single" w:sz="4" w:space="0" w:color="auto"/>
              <w:right w:val="nil"/>
            </w:tcBorders>
            <w:shd w:val="clear" w:color="auto" w:fill="auto"/>
            <w:noWrap/>
            <w:vAlign w:val="center"/>
            <w:hideMark/>
          </w:tcPr>
          <w:p w:rsidR="00BD1632" w:rsidRPr="00BD1632" w:rsidRDefault="00BD1632" w:rsidP="00BD1632">
            <w:pPr>
              <w:jc w:val="center"/>
              <w:rPr>
                <w:rFonts w:ascii="Calibri" w:hAnsi="Calibri"/>
                <w:color w:val="FF0000"/>
                <w:sz w:val="22"/>
              </w:rPr>
            </w:pPr>
            <w:r w:rsidRPr="00BD1632">
              <w:rPr>
                <w:rFonts w:ascii="Calibri" w:hAnsi="Calibri"/>
                <w:color w:val="FF0000"/>
                <w:sz w:val="22"/>
              </w:rPr>
              <w:t>-19.899,00</w:t>
            </w:r>
          </w:p>
        </w:tc>
        <w:tc>
          <w:tcPr>
            <w:tcW w:w="1394" w:type="dxa"/>
            <w:tcBorders>
              <w:top w:val="nil"/>
              <w:left w:val="nil"/>
              <w:bottom w:val="single" w:sz="4" w:space="0" w:color="auto"/>
              <w:right w:val="nil"/>
            </w:tcBorders>
            <w:shd w:val="clear" w:color="auto" w:fill="auto"/>
            <w:noWrap/>
            <w:vAlign w:val="center"/>
            <w:hideMark/>
          </w:tcPr>
          <w:p w:rsidR="00BD1632" w:rsidRPr="00BD1632" w:rsidRDefault="00BD1632" w:rsidP="00BD1632">
            <w:pPr>
              <w:jc w:val="center"/>
              <w:rPr>
                <w:rFonts w:ascii="Calibri" w:hAnsi="Calibri"/>
                <w:color w:val="FF0000"/>
                <w:sz w:val="22"/>
              </w:rPr>
            </w:pPr>
            <w:r w:rsidRPr="00BD1632">
              <w:rPr>
                <w:rFonts w:ascii="Calibri" w:hAnsi="Calibri"/>
                <w:color w:val="FF0000"/>
                <w:sz w:val="22"/>
              </w:rPr>
              <w:t>-19.899,00</w:t>
            </w:r>
          </w:p>
        </w:tc>
      </w:tr>
      <w:tr w:rsidR="00BD1632" w:rsidRPr="008328EC" w:rsidTr="006B3ECB">
        <w:trPr>
          <w:trHeight w:val="300"/>
        </w:trPr>
        <w:tc>
          <w:tcPr>
            <w:tcW w:w="529"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1</w:t>
            </w:r>
          </w:p>
        </w:tc>
        <w:tc>
          <w:tcPr>
            <w:tcW w:w="1096"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2.938,59</w:t>
            </w:r>
          </w:p>
        </w:tc>
        <w:tc>
          <w:tcPr>
            <w:tcW w:w="1174" w:type="dxa"/>
            <w:gridSpan w:val="2"/>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163,97</w:t>
            </w:r>
          </w:p>
        </w:tc>
        <w:tc>
          <w:tcPr>
            <w:tcW w:w="1307" w:type="dxa"/>
            <w:gridSpan w:val="2"/>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198,99</w:t>
            </w:r>
          </w:p>
        </w:tc>
        <w:tc>
          <w:tcPr>
            <w:tcW w:w="1168"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2.575,63</w:t>
            </w:r>
          </w:p>
        </w:tc>
        <w:tc>
          <w:tcPr>
            <w:tcW w:w="1291" w:type="dxa"/>
            <w:tcBorders>
              <w:top w:val="nil"/>
              <w:left w:val="nil"/>
              <w:bottom w:val="single" w:sz="4" w:space="0" w:color="auto"/>
              <w:right w:val="nil"/>
            </w:tcBorders>
            <w:shd w:val="clear" w:color="auto" w:fill="auto"/>
            <w:noWrap/>
            <w:vAlign w:val="center"/>
            <w:hideMark/>
          </w:tcPr>
          <w:p w:rsidR="00BD1632" w:rsidRPr="00BD1632" w:rsidRDefault="00BD1632" w:rsidP="00BD1632">
            <w:pPr>
              <w:jc w:val="center"/>
              <w:rPr>
                <w:rFonts w:ascii="Calibri" w:hAnsi="Calibri"/>
                <w:color w:val="FF0000"/>
                <w:sz w:val="22"/>
              </w:rPr>
            </w:pPr>
            <w:r w:rsidRPr="00BD1632">
              <w:rPr>
                <w:rFonts w:ascii="Calibri" w:hAnsi="Calibri"/>
                <w:color w:val="FF0000"/>
                <w:sz w:val="22"/>
              </w:rPr>
              <w:t>-17.323,37</w:t>
            </w:r>
          </w:p>
        </w:tc>
        <w:tc>
          <w:tcPr>
            <w:tcW w:w="1373"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2.259,32</w:t>
            </w:r>
          </w:p>
        </w:tc>
        <w:tc>
          <w:tcPr>
            <w:tcW w:w="1394" w:type="dxa"/>
            <w:tcBorders>
              <w:top w:val="nil"/>
              <w:left w:val="nil"/>
              <w:bottom w:val="single" w:sz="4" w:space="0" w:color="auto"/>
              <w:right w:val="nil"/>
            </w:tcBorders>
            <w:shd w:val="clear" w:color="auto" w:fill="auto"/>
            <w:noWrap/>
            <w:vAlign w:val="center"/>
            <w:hideMark/>
          </w:tcPr>
          <w:p w:rsidR="00BD1632" w:rsidRPr="00BD1632" w:rsidRDefault="00BD1632" w:rsidP="00BD1632">
            <w:pPr>
              <w:jc w:val="center"/>
              <w:rPr>
                <w:rFonts w:ascii="Calibri" w:hAnsi="Calibri"/>
                <w:color w:val="FF0000"/>
                <w:sz w:val="22"/>
              </w:rPr>
            </w:pPr>
            <w:r w:rsidRPr="00BD1632">
              <w:rPr>
                <w:rFonts w:ascii="Calibri" w:hAnsi="Calibri"/>
                <w:color w:val="FF0000"/>
                <w:sz w:val="22"/>
              </w:rPr>
              <w:t>-17.639,68</w:t>
            </w:r>
          </w:p>
        </w:tc>
      </w:tr>
      <w:tr w:rsidR="00BD1632" w:rsidRPr="008328EC" w:rsidTr="006B3ECB">
        <w:trPr>
          <w:trHeight w:val="300"/>
        </w:trPr>
        <w:tc>
          <w:tcPr>
            <w:tcW w:w="529"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2</w:t>
            </w:r>
          </w:p>
        </w:tc>
        <w:tc>
          <w:tcPr>
            <w:tcW w:w="1096"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3.079,64</w:t>
            </w:r>
          </w:p>
        </w:tc>
        <w:tc>
          <w:tcPr>
            <w:tcW w:w="1174" w:type="dxa"/>
            <w:gridSpan w:val="2"/>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172,58</w:t>
            </w:r>
          </w:p>
        </w:tc>
        <w:tc>
          <w:tcPr>
            <w:tcW w:w="1307" w:type="dxa"/>
            <w:gridSpan w:val="2"/>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210,43</w:t>
            </w:r>
          </w:p>
        </w:tc>
        <w:tc>
          <w:tcPr>
            <w:tcW w:w="1168"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2.696,63</w:t>
            </w:r>
          </w:p>
        </w:tc>
        <w:tc>
          <w:tcPr>
            <w:tcW w:w="1291" w:type="dxa"/>
            <w:tcBorders>
              <w:top w:val="nil"/>
              <w:left w:val="nil"/>
              <w:bottom w:val="single" w:sz="4" w:space="0" w:color="auto"/>
              <w:right w:val="nil"/>
            </w:tcBorders>
            <w:shd w:val="clear" w:color="auto" w:fill="auto"/>
            <w:noWrap/>
            <w:vAlign w:val="center"/>
            <w:hideMark/>
          </w:tcPr>
          <w:p w:rsidR="00BD1632" w:rsidRPr="00BD1632" w:rsidRDefault="00BD1632" w:rsidP="00BD1632">
            <w:pPr>
              <w:jc w:val="center"/>
              <w:rPr>
                <w:rFonts w:ascii="Calibri" w:hAnsi="Calibri"/>
                <w:color w:val="FF0000"/>
                <w:sz w:val="22"/>
              </w:rPr>
            </w:pPr>
            <w:r w:rsidRPr="00BD1632">
              <w:rPr>
                <w:rFonts w:ascii="Calibri" w:hAnsi="Calibri"/>
                <w:color w:val="FF0000"/>
                <w:sz w:val="22"/>
              </w:rPr>
              <w:t>-14.626,74</w:t>
            </w:r>
          </w:p>
        </w:tc>
        <w:tc>
          <w:tcPr>
            <w:tcW w:w="1373"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2.074,97</w:t>
            </w:r>
          </w:p>
        </w:tc>
        <w:tc>
          <w:tcPr>
            <w:tcW w:w="1394" w:type="dxa"/>
            <w:tcBorders>
              <w:top w:val="nil"/>
              <w:left w:val="nil"/>
              <w:bottom w:val="single" w:sz="4" w:space="0" w:color="auto"/>
              <w:right w:val="nil"/>
            </w:tcBorders>
            <w:shd w:val="clear" w:color="auto" w:fill="auto"/>
            <w:noWrap/>
            <w:vAlign w:val="center"/>
            <w:hideMark/>
          </w:tcPr>
          <w:p w:rsidR="00BD1632" w:rsidRPr="00BD1632" w:rsidRDefault="00BD1632" w:rsidP="00BD1632">
            <w:pPr>
              <w:jc w:val="center"/>
              <w:rPr>
                <w:rFonts w:ascii="Calibri" w:hAnsi="Calibri"/>
                <w:color w:val="FF0000"/>
                <w:sz w:val="22"/>
              </w:rPr>
            </w:pPr>
            <w:r w:rsidRPr="00BD1632">
              <w:rPr>
                <w:rFonts w:ascii="Calibri" w:hAnsi="Calibri"/>
                <w:color w:val="FF0000"/>
                <w:sz w:val="22"/>
              </w:rPr>
              <w:t>-15.564,71</w:t>
            </w:r>
          </w:p>
        </w:tc>
      </w:tr>
      <w:tr w:rsidR="00BD1632" w:rsidRPr="008328EC" w:rsidTr="006B3ECB">
        <w:trPr>
          <w:trHeight w:val="300"/>
        </w:trPr>
        <w:tc>
          <w:tcPr>
            <w:tcW w:w="529"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3</w:t>
            </w:r>
          </w:p>
        </w:tc>
        <w:tc>
          <w:tcPr>
            <w:tcW w:w="1096"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3.227,47</w:t>
            </w:r>
          </w:p>
        </w:tc>
        <w:tc>
          <w:tcPr>
            <w:tcW w:w="1174" w:type="dxa"/>
            <w:gridSpan w:val="2"/>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181,64</w:t>
            </w:r>
          </w:p>
        </w:tc>
        <w:tc>
          <w:tcPr>
            <w:tcW w:w="1307" w:type="dxa"/>
            <w:gridSpan w:val="2"/>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222,53</w:t>
            </w:r>
          </w:p>
        </w:tc>
        <w:tc>
          <w:tcPr>
            <w:tcW w:w="1168"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2.823,29</w:t>
            </w:r>
          </w:p>
        </w:tc>
        <w:tc>
          <w:tcPr>
            <w:tcW w:w="1291" w:type="dxa"/>
            <w:tcBorders>
              <w:top w:val="nil"/>
              <w:left w:val="nil"/>
              <w:bottom w:val="single" w:sz="4" w:space="0" w:color="auto"/>
              <w:right w:val="nil"/>
            </w:tcBorders>
            <w:shd w:val="clear" w:color="auto" w:fill="auto"/>
            <w:noWrap/>
            <w:vAlign w:val="center"/>
            <w:hideMark/>
          </w:tcPr>
          <w:p w:rsidR="00BD1632" w:rsidRPr="00BD1632" w:rsidRDefault="00BD1632" w:rsidP="00BD1632">
            <w:pPr>
              <w:jc w:val="center"/>
              <w:rPr>
                <w:rFonts w:ascii="Calibri" w:hAnsi="Calibri"/>
                <w:color w:val="FF0000"/>
                <w:sz w:val="22"/>
              </w:rPr>
            </w:pPr>
            <w:r w:rsidRPr="00BD1632">
              <w:rPr>
                <w:rFonts w:ascii="Calibri" w:hAnsi="Calibri"/>
                <w:color w:val="FF0000"/>
                <w:sz w:val="22"/>
              </w:rPr>
              <w:t>-11.803,45</w:t>
            </w:r>
          </w:p>
        </w:tc>
        <w:tc>
          <w:tcPr>
            <w:tcW w:w="1373"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1.905,64</w:t>
            </w:r>
          </w:p>
        </w:tc>
        <w:tc>
          <w:tcPr>
            <w:tcW w:w="1394" w:type="dxa"/>
            <w:tcBorders>
              <w:top w:val="nil"/>
              <w:left w:val="nil"/>
              <w:bottom w:val="single" w:sz="4" w:space="0" w:color="auto"/>
              <w:right w:val="nil"/>
            </w:tcBorders>
            <w:shd w:val="clear" w:color="auto" w:fill="auto"/>
            <w:noWrap/>
            <w:vAlign w:val="center"/>
            <w:hideMark/>
          </w:tcPr>
          <w:p w:rsidR="00BD1632" w:rsidRPr="00BD1632" w:rsidRDefault="00BD1632" w:rsidP="00BD1632">
            <w:pPr>
              <w:jc w:val="center"/>
              <w:rPr>
                <w:rFonts w:ascii="Calibri" w:hAnsi="Calibri"/>
                <w:color w:val="FF0000"/>
                <w:sz w:val="22"/>
              </w:rPr>
            </w:pPr>
            <w:r w:rsidRPr="00BD1632">
              <w:rPr>
                <w:rFonts w:ascii="Calibri" w:hAnsi="Calibri"/>
                <w:color w:val="FF0000"/>
                <w:sz w:val="22"/>
              </w:rPr>
              <w:t>-13.659,07</w:t>
            </w:r>
          </w:p>
        </w:tc>
      </w:tr>
      <w:tr w:rsidR="00BD1632" w:rsidRPr="008328EC" w:rsidTr="006B3ECB">
        <w:trPr>
          <w:trHeight w:val="300"/>
        </w:trPr>
        <w:tc>
          <w:tcPr>
            <w:tcW w:w="529"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4</w:t>
            </w:r>
          </w:p>
        </w:tc>
        <w:tc>
          <w:tcPr>
            <w:tcW w:w="1096"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3.382,38</w:t>
            </w:r>
          </w:p>
        </w:tc>
        <w:tc>
          <w:tcPr>
            <w:tcW w:w="1174" w:type="dxa"/>
            <w:gridSpan w:val="2"/>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191,18</w:t>
            </w:r>
          </w:p>
        </w:tc>
        <w:tc>
          <w:tcPr>
            <w:tcW w:w="1307" w:type="dxa"/>
            <w:gridSpan w:val="2"/>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235,33</w:t>
            </w:r>
          </w:p>
        </w:tc>
        <w:tc>
          <w:tcPr>
            <w:tcW w:w="1168"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2.955,88</w:t>
            </w:r>
          </w:p>
        </w:tc>
        <w:tc>
          <w:tcPr>
            <w:tcW w:w="1291" w:type="dxa"/>
            <w:tcBorders>
              <w:top w:val="nil"/>
              <w:left w:val="nil"/>
              <w:bottom w:val="single" w:sz="4" w:space="0" w:color="auto"/>
              <w:right w:val="nil"/>
            </w:tcBorders>
            <w:shd w:val="clear" w:color="auto" w:fill="auto"/>
            <w:noWrap/>
            <w:vAlign w:val="center"/>
            <w:hideMark/>
          </w:tcPr>
          <w:p w:rsidR="00BD1632" w:rsidRPr="00BD1632" w:rsidRDefault="00BD1632" w:rsidP="00BD1632">
            <w:pPr>
              <w:jc w:val="center"/>
              <w:rPr>
                <w:rFonts w:ascii="Calibri" w:hAnsi="Calibri"/>
                <w:color w:val="FF0000"/>
                <w:sz w:val="22"/>
              </w:rPr>
            </w:pPr>
            <w:r w:rsidRPr="00BD1632">
              <w:rPr>
                <w:rFonts w:ascii="Calibri" w:hAnsi="Calibri"/>
                <w:color w:val="FF0000"/>
                <w:sz w:val="22"/>
              </w:rPr>
              <w:t>-8.847,57</w:t>
            </w:r>
          </w:p>
        </w:tc>
        <w:tc>
          <w:tcPr>
            <w:tcW w:w="1373"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1.750,12</w:t>
            </w:r>
          </w:p>
        </w:tc>
        <w:tc>
          <w:tcPr>
            <w:tcW w:w="1394" w:type="dxa"/>
            <w:tcBorders>
              <w:top w:val="nil"/>
              <w:left w:val="nil"/>
              <w:bottom w:val="single" w:sz="4" w:space="0" w:color="auto"/>
              <w:right w:val="nil"/>
            </w:tcBorders>
            <w:shd w:val="clear" w:color="auto" w:fill="auto"/>
            <w:noWrap/>
            <w:vAlign w:val="center"/>
            <w:hideMark/>
          </w:tcPr>
          <w:p w:rsidR="00BD1632" w:rsidRPr="00BD1632" w:rsidRDefault="00BD1632" w:rsidP="00BD1632">
            <w:pPr>
              <w:jc w:val="center"/>
              <w:rPr>
                <w:rFonts w:ascii="Calibri" w:hAnsi="Calibri"/>
                <w:color w:val="FF0000"/>
                <w:sz w:val="22"/>
              </w:rPr>
            </w:pPr>
            <w:r w:rsidRPr="00BD1632">
              <w:rPr>
                <w:rFonts w:ascii="Calibri" w:hAnsi="Calibri"/>
                <w:color w:val="FF0000"/>
                <w:sz w:val="22"/>
              </w:rPr>
              <w:t>-11.908,95</w:t>
            </w:r>
          </w:p>
        </w:tc>
      </w:tr>
      <w:tr w:rsidR="00BD1632" w:rsidRPr="008328EC" w:rsidTr="006B3ECB">
        <w:trPr>
          <w:trHeight w:val="300"/>
        </w:trPr>
        <w:tc>
          <w:tcPr>
            <w:tcW w:w="529"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5</w:t>
            </w:r>
          </w:p>
        </w:tc>
        <w:tc>
          <w:tcPr>
            <w:tcW w:w="1096"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3.544,74</w:t>
            </w:r>
          </w:p>
        </w:tc>
        <w:tc>
          <w:tcPr>
            <w:tcW w:w="1174" w:type="dxa"/>
            <w:gridSpan w:val="2"/>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201,21</w:t>
            </w:r>
          </w:p>
        </w:tc>
        <w:tc>
          <w:tcPr>
            <w:tcW w:w="1307" w:type="dxa"/>
            <w:gridSpan w:val="2"/>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248,86</w:t>
            </w:r>
          </w:p>
        </w:tc>
        <w:tc>
          <w:tcPr>
            <w:tcW w:w="1168"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3.094,67</w:t>
            </w:r>
          </w:p>
        </w:tc>
        <w:tc>
          <w:tcPr>
            <w:tcW w:w="1291" w:type="dxa"/>
            <w:tcBorders>
              <w:top w:val="nil"/>
              <w:left w:val="nil"/>
              <w:bottom w:val="single" w:sz="4" w:space="0" w:color="auto"/>
              <w:right w:val="nil"/>
            </w:tcBorders>
            <w:shd w:val="clear" w:color="auto" w:fill="auto"/>
            <w:noWrap/>
            <w:vAlign w:val="center"/>
            <w:hideMark/>
          </w:tcPr>
          <w:p w:rsidR="00BD1632" w:rsidRPr="00BD1632" w:rsidRDefault="00BD1632" w:rsidP="00BD1632">
            <w:pPr>
              <w:jc w:val="center"/>
              <w:rPr>
                <w:rFonts w:ascii="Calibri" w:hAnsi="Calibri"/>
                <w:color w:val="FF0000"/>
                <w:sz w:val="22"/>
              </w:rPr>
            </w:pPr>
            <w:r w:rsidRPr="00BD1632">
              <w:rPr>
                <w:rFonts w:ascii="Calibri" w:hAnsi="Calibri"/>
                <w:color w:val="FF0000"/>
                <w:sz w:val="22"/>
              </w:rPr>
              <w:t>-5.752,90</w:t>
            </w:r>
          </w:p>
        </w:tc>
        <w:tc>
          <w:tcPr>
            <w:tcW w:w="1373"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1.607,27</w:t>
            </w:r>
          </w:p>
        </w:tc>
        <w:tc>
          <w:tcPr>
            <w:tcW w:w="1394" w:type="dxa"/>
            <w:tcBorders>
              <w:top w:val="nil"/>
              <w:left w:val="nil"/>
              <w:bottom w:val="single" w:sz="4" w:space="0" w:color="auto"/>
              <w:right w:val="nil"/>
            </w:tcBorders>
            <w:shd w:val="clear" w:color="auto" w:fill="auto"/>
            <w:noWrap/>
            <w:vAlign w:val="center"/>
            <w:hideMark/>
          </w:tcPr>
          <w:p w:rsidR="00BD1632" w:rsidRPr="00BD1632" w:rsidRDefault="00BD1632" w:rsidP="00BD1632">
            <w:pPr>
              <w:jc w:val="center"/>
              <w:rPr>
                <w:rFonts w:ascii="Calibri" w:hAnsi="Calibri"/>
                <w:color w:val="FF0000"/>
                <w:sz w:val="22"/>
              </w:rPr>
            </w:pPr>
            <w:r w:rsidRPr="00BD1632">
              <w:rPr>
                <w:rFonts w:ascii="Calibri" w:hAnsi="Calibri"/>
                <w:color w:val="FF0000"/>
                <w:sz w:val="22"/>
              </w:rPr>
              <w:t>-10.301,67</w:t>
            </w:r>
          </w:p>
        </w:tc>
      </w:tr>
      <w:tr w:rsidR="00BD1632" w:rsidRPr="008328EC" w:rsidTr="006B3ECB">
        <w:trPr>
          <w:trHeight w:val="300"/>
        </w:trPr>
        <w:tc>
          <w:tcPr>
            <w:tcW w:w="529"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6</w:t>
            </w:r>
          </w:p>
        </w:tc>
        <w:tc>
          <w:tcPr>
            <w:tcW w:w="1096"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3.714,89</w:t>
            </w:r>
          </w:p>
        </w:tc>
        <w:tc>
          <w:tcPr>
            <w:tcW w:w="1174" w:type="dxa"/>
            <w:gridSpan w:val="2"/>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211,78</w:t>
            </w:r>
          </w:p>
        </w:tc>
        <w:tc>
          <w:tcPr>
            <w:tcW w:w="1307" w:type="dxa"/>
            <w:gridSpan w:val="2"/>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263,17</w:t>
            </w:r>
          </w:p>
        </w:tc>
        <w:tc>
          <w:tcPr>
            <w:tcW w:w="1168"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3.239,94</w:t>
            </w:r>
          </w:p>
        </w:tc>
        <w:tc>
          <w:tcPr>
            <w:tcW w:w="1291" w:type="dxa"/>
            <w:tcBorders>
              <w:top w:val="nil"/>
              <w:left w:val="nil"/>
              <w:bottom w:val="single" w:sz="4" w:space="0" w:color="auto"/>
              <w:right w:val="nil"/>
            </w:tcBorders>
            <w:shd w:val="clear" w:color="auto" w:fill="auto"/>
            <w:noWrap/>
            <w:vAlign w:val="center"/>
            <w:hideMark/>
          </w:tcPr>
          <w:p w:rsidR="00BD1632" w:rsidRPr="00BD1632" w:rsidRDefault="00BD1632" w:rsidP="00BD1632">
            <w:pPr>
              <w:jc w:val="center"/>
              <w:rPr>
                <w:rFonts w:ascii="Calibri" w:hAnsi="Calibri"/>
                <w:color w:val="FF0000"/>
                <w:sz w:val="22"/>
              </w:rPr>
            </w:pPr>
            <w:r w:rsidRPr="00BD1632">
              <w:rPr>
                <w:rFonts w:ascii="Calibri" w:hAnsi="Calibri"/>
                <w:color w:val="FF0000"/>
                <w:sz w:val="22"/>
              </w:rPr>
              <w:t>-2.512,96</w:t>
            </w:r>
          </w:p>
        </w:tc>
        <w:tc>
          <w:tcPr>
            <w:tcW w:w="1373"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1.476,07</w:t>
            </w:r>
          </w:p>
        </w:tc>
        <w:tc>
          <w:tcPr>
            <w:tcW w:w="1394" w:type="dxa"/>
            <w:tcBorders>
              <w:top w:val="nil"/>
              <w:left w:val="nil"/>
              <w:bottom w:val="single" w:sz="4" w:space="0" w:color="auto"/>
              <w:right w:val="nil"/>
            </w:tcBorders>
            <w:shd w:val="clear" w:color="auto" w:fill="auto"/>
            <w:noWrap/>
            <w:vAlign w:val="center"/>
            <w:hideMark/>
          </w:tcPr>
          <w:p w:rsidR="00BD1632" w:rsidRPr="00BD1632" w:rsidRDefault="00BD1632" w:rsidP="00BD1632">
            <w:pPr>
              <w:jc w:val="center"/>
              <w:rPr>
                <w:rFonts w:ascii="Calibri" w:hAnsi="Calibri"/>
                <w:color w:val="FF0000"/>
                <w:sz w:val="22"/>
              </w:rPr>
            </w:pPr>
            <w:r w:rsidRPr="00BD1632">
              <w:rPr>
                <w:rFonts w:ascii="Calibri" w:hAnsi="Calibri"/>
                <w:color w:val="FF0000"/>
                <w:sz w:val="22"/>
              </w:rPr>
              <w:t>-8.825,60</w:t>
            </w:r>
          </w:p>
        </w:tc>
      </w:tr>
      <w:tr w:rsidR="00BD1632" w:rsidRPr="008328EC" w:rsidTr="006B3ECB">
        <w:trPr>
          <w:trHeight w:val="300"/>
        </w:trPr>
        <w:tc>
          <w:tcPr>
            <w:tcW w:w="529"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7</w:t>
            </w:r>
          </w:p>
        </w:tc>
        <w:tc>
          <w:tcPr>
            <w:tcW w:w="1096"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3.893,20</w:t>
            </w:r>
          </w:p>
        </w:tc>
        <w:tc>
          <w:tcPr>
            <w:tcW w:w="1174" w:type="dxa"/>
            <w:gridSpan w:val="2"/>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222,90</w:t>
            </w:r>
          </w:p>
        </w:tc>
        <w:tc>
          <w:tcPr>
            <w:tcW w:w="1307" w:type="dxa"/>
            <w:gridSpan w:val="2"/>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278,30</w:t>
            </w:r>
          </w:p>
        </w:tc>
        <w:tc>
          <w:tcPr>
            <w:tcW w:w="1168"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3.392,00</w:t>
            </w:r>
          </w:p>
        </w:tc>
        <w:tc>
          <w:tcPr>
            <w:tcW w:w="1291"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879,04</w:t>
            </w:r>
          </w:p>
        </w:tc>
        <w:tc>
          <w:tcPr>
            <w:tcW w:w="1373"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1.355,57</w:t>
            </w:r>
          </w:p>
        </w:tc>
        <w:tc>
          <w:tcPr>
            <w:tcW w:w="1394" w:type="dxa"/>
            <w:tcBorders>
              <w:top w:val="nil"/>
              <w:left w:val="nil"/>
              <w:bottom w:val="single" w:sz="4" w:space="0" w:color="auto"/>
              <w:right w:val="nil"/>
            </w:tcBorders>
            <w:shd w:val="clear" w:color="auto" w:fill="auto"/>
            <w:noWrap/>
            <w:vAlign w:val="center"/>
            <w:hideMark/>
          </w:tcPr>
          <w:p w:rsidR="00BD1632" w:rsidRPr="00BD1632" w:rsidRDefault="00BD1632" w:rsidP="00BD1632">
            <w:pPr>
              <w:jc w:val="center"/>
              <w:rPr>
                <w:rFonts w:ascii="Calibri" w:hAnsi="Calibri"/>
                <w:color w:val="FF0000"/>
                <w:sz w:val="22"/>
              </w:rPr>
            </w:pPr>
            <w:r w:rsidRPr="00BD1632">
              <w:rPr>
                <w:rFonts w:ascii="Calibri" w:hAnsi="Calibri"/>
                <w:color w:val="FF0000"/>
                <w:sz w:val="22"/>
              </w:rPr>
              <w:t>-7.470,03</w:t>
            </w:r>
          </w:p>
        </w:tc>
      </w:tr>
      <w:tr w:rsidR="00BD1632" w:rsidRPr="008328EC" w:rsidTr="006B3ECB">
        <w:trPr>
          <w:trHeight w:val="300"/>
        </w:trPr>
        <w:tc>
          <w:tcPr>
            <w:tcW w:w="529"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8</w:t>
            </w:r>
          </w:p>
        </w:tc>
        <w:tc>
          <w:tcPr>
            <w:tcW w:w="1096"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4.080,07</w:t>
            </w:r>
          </w:p>
        </w:tc>
        <w:tc>
          <w:tcPr>
            <w:tcW w:w="1174" w:type="dxa"/>
            <w:gridSpan w:val="2"/>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234,60</w:t>
            </w:r>
          </w:p>
        </w:tc>
        <w:tc>
          <w:tcPr>
            <w:tcW w:w="1307" w:type="dxa"/>
            <w:gridSpan w:val="2"/>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294,30</w:t>
            </w:r>
          </w:p>
        </w:tc>
        <w:tc>
          <w:tcPr>
            <w:tcW w:w="1168"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3.551,17</w:t>
            </w:r>
          </w:p>
        </w:tc>
        <w:tc>
          <w:tcPr>
            <w:tcW w:w="1291"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4.430,21</w:t>
            </w:r>
          </w:p>
        </w:tc>
        <w:tc>
          <w:tcPr>
            <w:tcW w:w="1373"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1.244,90</w:t>
            </w:r>
          </w:p>
        </w:tc>
        <w:tc>
          <w:tcPr>
            <w:tcW w:w="1394" w:type="dxa"/>
            <w:tcBorders>
              <w:top w:val="nil"/>
              <w:left w:val="nil"/>
              <w:bottom w:val="single" w:sz="4" w:space="0" w:color="auto"/>
              <w:right w:val="nil"/>
            </w:tcBorders>
            <w:shd w:val="clear" w:color="auto" w:fill="auto"/>
            <w:noWrap/>
            <w:vAlign w:val="center"/>
            <w:hideMark/>
          </w:tcPr>
          <w:p w:rsidR="00BD1632" w:rsidRPr="00BD1632" w:rsidRDefault="00BD1632" w:rsidP="00BD1632">
            <w:pPr>
              <w:jc w:val="center"/>
              <w:rPr>
                <w:rFonts w:ascii="Calibri" w:hAnsi="Calibri"/>
                <w:color w:val="FF0000"/>
                <w:sz w:val="22"/>
              </w:rPr>
            </w:pPr>
            <w:r w:rsidRPr="00BD1632">
              <w:rPr>
                <w:rFonts w:ascii="Calibri" w:hAnsi="Calibri"/>
                <w:color w:val="FF0000"/>
                <w:sz w:val="22"/>
              </w:rPr>
              <w:t>-6.225,13</w:t>
            </w:r>
          </w:p>
        </w:tc>
      </w:tr>
      <w:tr w:rsidR="00BD1632" w:rsidRPr="008328EC" w:rsidTr="006B3ECB">
        <w:trPr>
          <w:trHeight w:val="300"/>
        </w:trPr>
        <w:tc>
          <w:tcPr>
            <w:tcW w:w="529"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9</w:t>
            </w:r>
          </w:p>
        </w:tc>
        <w:tc>
          <w:tcPr>
            <w:tcW w:w="1096"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4.275,92</w:t>
            </w:r>
          </w:p>
        </w:tc>
        <w:tc>
          <w:tcPr>
            <w:tcW w:w="1174" w:type="dxa"/>
            <w:gridSpan w:val="2"/>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246,92</w:t>
            </w:r>
          </w:p>
        </w:tc>
        <w:tc>
          <w:tcPr>
            <w:tcW w:w="1307" w:type="dxa"/>
            <w:gridSpan w:val="2"/>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311,22</w:t>
            </w:r>
          </w:p>
        </w:tc>
        <w:tc>
          <w:tcPr>
            <w:tcW w:w="1168"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3.717,78</w:t>
            </w:r>
          </w:p>
        </w:tc>
        <w:tc>
          <w:tcPr>
            <w:tcW w:w="1291"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8.147,99</w:t>
            </w:r>
          </w:p>
        </w:tc>
        <w:tc>
          <w:tcPr>
            <w:tcW w:w="1373"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1.143,25</w:t>
            </w:r>
          </w:p>
        </w:tc>
        <w:tc>
          <w:tcPr>
            <w:tcW w:w="1394" w:type="dxa"/>
            <w:tcBorders>
              <w:top w:val="nil"/>
              <w:left w:val="nil"/>
              <w:bottom w:val="single" w:sz="4" w:space="0" w:color="auto"/>
              <w:right w:val="nil"/>
            </w:tcBorders>
            <w:shd w:val="clear" w:color="auto" w:fill="auto"/>
            <w:noWrap/>
            <w:vAlign w:val="center"/>
            <w:hideMark/>
          </w:tcPr>
          <w:p w:rsidR="00BD1632" w:rsidRPr="00BD1632" w:rsidRDefault="00BD1632" w:rsidP="00BD1632">
            <w:pPr>
              <w:jc w:val="center"/>
              <w:rPr>
                <w:rFonts w:ascii="Calibri" w:hAnsi="Calibri"/>
                <w:color w:val="FF0000"/>
                <w:sz w:val="22"/>
              </w:rPr>
            </w:pPr>
            <w:r w:rsidRPr="00BD1632">
              <w:rPr>
                <w:rFonts w:ascii="Calibri" w:hAnsi="Calibri"/>
                <w:color w:val="FF0000"/>
                <w:sz w:val="22"/>
              </w:rPr>
              <w:t>-5.081,89</w:t>
            </w:r>
          </w:p>
        </w:tc>
      </w:tr>
      <w:tr w:rsidR="00BD1632" w:rsidRPr="008328EC" w:rsidTr="006B3ECB">
        <w:trPr>
          <w:trHeight w:val="300"/>
        </w:trPr>
        <w:tc>
          <w:tcPr>
            <w:tcW w:w="529"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10</w:t>
            </w:r>
          </w:p>
        </w:tc>
        <w:tc>
          <w:tcPr>
            <w:tcW w:w="1096"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4.481,16</w:t>
            </w:r>
          </w:p>
        </w:tc>
        <w:tc>
          <w:tcPr>
            <w:tcW w:w="1174" w:type="dxa"/>
            <w:gridSpan w:val="2"/>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259,88</w:t>
            </w:r>
          </w:p>
        </w:tc>
        <w:tc>
          <w:tcPr>
            <w:tcW w:w="1307" w:type="dxa"/>
            <w:gridSpan w:val="2"/>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329,12</w:t>
            </w:r>
          </w:p>
        </w:tc>
        <w:tc>
          <w:tcPr>
            <w:tcW w:w="1168"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3.892,16</w:t>
            </w:r>
          </w:p>
        </w:tc>
        <w:tc>
          <w:tcPr>
            <w:tcW w:w="1291"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12.040,16</w:t>
            </w:r>
          </w:p>
        </w:tc>
        <w:tc>
          <w:tcPr>
            <w:tcW w:w="1373"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1.049,89</w:t>
            </w:r>
          </w:p>
        </w:tc>
        <w:tc>
          <w:tcPr>
            <w:tcW w:w="1394" w:type="dxa"/>
            <w:tcBorders>
              <w:top w:val="nil"/>
              <w:left w:val="nil"/>
              <w:bottom w:val="single" w:sz="4" w:space="0" w:color="auto"/>
              <w:right w:val="nil"/>
            </w:tcBorders>
            <w:shd w:val="clear" w:color="auto" w:fill="auto"/>
            <w:noWrap/>
            <w:vAlign w:val="center"/>
            <w:hideMark/>
          </w:tcPr>
          <w:p w:rsidR="00BD1632" w:rsidRPr="00BD1632" w:rsidRDefault="00BD1632" w:rsidP="00BD1632">
            <w:pPr>
              <w:jc w:val="center"/>
              <w:rPr>
                <w:rFonts w:ascii="Calibri" w:hAnsi="Calibri"/>
                <w:color w:val="FF0000"/>
                <w:sz w:val="22"/>
              </w:rPr>
            </w:pPr>
            <w:r w:rsidRPr="00BD1632">
              <w:rPr>
                <w:rFonts w:ascii="Calibri" w:hAnsi="Calibri"/>
                <w:color w:val="FF0000"/>
                <w:sz w:val="22"/>
              </w:rPr>
              <w:t>-4.032,00</w:t>
            </w:r>
          </w:p>
        </w:tc>
      </w:tr>
      <w:tr w:rsidR="00BD1632" w:rsidRPr="008328EC" w:rsidTr="006B3ECB">
        <w:trPr>
          <w:trHeight w:val="300"/>
        </w:trPr>
        <w:tc>
          <w:tcPr>
            <w:tcW w:w="529"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11</w:t>
            </w:r>
          </w:p>
        </w:tc>
        <w:tc>
          <w:tcPr>
            <w:tcW w:w="1096"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4.696,26</w:t>
            </w:r>
          </w:p>
        </w:tc>
        <w:tc>
          <w:tcPr>
            <w:tcW w:w="1174" w:type="dxa"/>
            <w:gridSpan w:val="2"/>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273,52</w:t>
            </w:r>
          </w:p>
        </w:tc>
        <w:tc>
          <w:tcPr>
            <w:tcW w:w="1307" w:type="dxa"/>
            <w:gridSpan w:val="2"/>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348,04</w:t>
            </w:r>
          </w:p>
        </w:tc>
        <w:tc>
          <w:tcPr>
            <w:tcW w:w="1168"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4.074,69</w:t>
            </w:r>
          </w:p>
        </w:tc>
        <w:tc>
          <w:tcPr>
            <w:tcW w:w="1291"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16.114,85</w:t>
            </w:r>
          </w:p>
        </w:tc>
        <w:tc>
          <w:tcPr>
            <w:tcW w:w="1373"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964,14</w:t>
            </w:r>
          </w:p>
        </w:tc>
        <w:tc>
          <w:tcPr>
            <w:tcW w:w="1394" w:type="dxa"/>
            <w:tcBorders>
              <w:top w:val="nil"/>
              <w:left w:val="nil"/>
              <w:bottom w:val="single" w:sz="4" w:space="0" w:color="auto"/>
              <w:right w:val="nil"/>
            </w:tcBorders>
            <w:shd w:val="clear" w:color="auto" w:fill="auto"/>
            <w:noWrap/>
            <w:vAlign w:val="center"/>
            <w:hideMark/>
          </w:tcPr>
          <w:p w:rsidR="00BD1632" w:rsidRPr="00BD1632" w:rsidRDefault="00BD1632" w:rsidP="00BD1632">
            <w:pPr>
              <w:jc w:val="center"/>
              <w:rPr>
                <w:rFonts w:ascii="Calibri" w:hAnsi="Calibri"/>
                <w:color w:val="FF0000"/>
                <w:sz w:val="22"/>
              </w:rPr>
            </w:pPr>
            <w:r w:rsidRPr="00BD1632">
              <w:rPr>
                <w:rFonts w:ascii="Calibri" w:hAnsi="Calibri"/>
                <w:color w:val="FF0000"/>
                <w:sz w:val="22"/>
              </w:rPr>
              <w:t>-3.067,86</w:t>
            </w:r>
          </w:p>
        </w:tc>
      </w:tr>
      <w:tr w:rsidR="00BD1632" w:rsidRPr="008328EC" w:rsidTr="006B3ECB">
        <w:trPr>
          <w:trHeight w:val="300"/>
        </w:trPr>
        <w:tc>
          <w:tcPr>
            <w:tcW w:w="529" w:type="dxa"/>
            <w:tcBorders>
              <w:top w:val="nil"/>
              <w:left w:val="nil"/>
              <w:bottom w:val="single" w:sz="4" w:space="0" w:color="auto"/>
              <w:right w:val="nil"/>
            </w:tcBorders>
            <w:shd w:val="clear" w:color="auto" w:fill="auto"/>
            <w:noWrap/>
            <w:vAlign w:val="center"/>
          </w:tcPr>
          <w:p w:rsidR="00BD1632" w:rsidRDefault="00BD1632" w:rsidP="00BD1632">
            <w:pPr>
              <w:jc w:val="center"/>
              <w:rPr>
                <w:rFonts w:ascii="Calibri" w:hAnsi="Calibri"/>
                <w:color w:val="000000"/>
                <w:sz w:val="22"/>
              </w:rPr>
            </w:pPr>
            <w:r>
              <w:rPr>
                <w:rFonts w:ascii="Calibri" w:hAnsi="Calibri"/>
                <w:color w:val="000000"/>
                <w:sz w:val="22"/>
              </w:rPr>
              <w:t>12</w:t>
            </w:r>
          </w:p>
        </w:tc>
        <w:tc>
          <w:tcPr>
            <w:tcW w:w="1096" w:type="dxa"/>
            <w:tcBorders>
              <w:top w:val="nil"/>
              <w:left w:val="nil"/>
              <w:bottom w:val="single" w:sz="4" w:space="0" w:color="auto"/>
              <w:right w:val="nil"/>
            </w:tcBorders>
            <w:shd w:val="clear" w:color="auto" w:fill="auto"/>
            <w:noWrap/>
            <w:vAlign w:val="center"/>
          </w:tcPr>
          <w:p w:rsidR="00BD1632" w:rsidRDefault="00BD1632" w:rsidP="00BD1632">
            <w:pPr>
              <w:jc w:val="center"/>
              <w:rPr>
                <w:rFonts w:ascii="Calibri" w:hAnsi="Calibri"/>
                <w:color w:val="000000"/>
                <w:sz w:val="22"/>
              </w:rPr>
            </w:pPr>
            <w:r>
              <w:rPr>
                <w:rFonts w:ascii="Calibri" w:hAnsi="Calibri"/>
                <w:color w:val="000000"/>
                <w:sz w:val="22"/>
              </w:rPr>
              <w:t>4.921,68</w:t>
            </w:r>
          </w:p>
        </w:tc>
        <w:tc>
          <w:tcPr>
            <w:tcW w:w="1174" w:type="dxa"/>
            <w:gridSpan w:val="2"/>
            <w:tcBorders>
              <w:top w:val="nil"/>
              <w:left w:val="nil"/>
              <w:bottom w:val="single" w:sz="4" w:space="0" w:color="auto"/>
              <w:right w:val="nil"/>
            </w:tcBorders>
            <w:shd w:val="clear" w:color="auto" w:fill="auto"/>
            <w:noWrap/>
            <w:vAlign w:val="center"/>
          </w:tcPr>
          <w:p w:rsidR="00BD1632" w:rsidRDefault="00BD1632" w:rsidP="00BD1632">
            <w:pPr>
              <w:jc w:val="center"/>
              <w:rPr>
                <w:rFonts w:ascii="Calibri" w:hAnsi="Calibri"/>
                <w:color w:val="000000"/>
                <w:sz w:val="22"/>
              </w:rPr>
            </w:pPr>
            <w:r>
              <w:rPr>
                <w:rFonts w:ascii="Calibri" w:hAnsi="Calibri"/>
                <w:color w:val="000000"/>
                <w:sz w:val="22"/>
              </w:rPr>
              <w:t>287,88</w:t>
            </w:r>
          </w:p>
        </w:tc>
        <w:tc>
          <w:tcPr>
            <w:tcW w:w="1307" w:type="dxa"/>
            <w:gridSpan w:val="2"/>
            <w:tcBorders>
              <w:top w:val="nil"/>
              <w:left w:val="nil"/>
              <w:bottom w:val="single" w:sz="4" w:space="0" w:color="auto"/>
              <w:right w:val="nil"/>
            </w:tcBorders>
            <w:shd w:val="clear" w:color="auto" w:fill="auto"/>
            <w:noWrap/>
            <w:vAlign w:val="center"/>
          </w:tcPr>
          <w:p w:rsidR="00BD1632" w:rsidRDefault="00BD1632" w:rsidP="00BD1632">
            <w:pPr>
              <w:jc w:val="center"/>
              <w:rPr>
                <w:rFonts w:ascii="Calibri" w:hAnsi="Calibri"/>
                <w:color w:val="000000"/>
                <w:sz w:val="22"/>
              </w:rPr>
            </w:pPr>
            <w:r>
              <w:rPr>
                <w:rFonts w:ascii="Calibri" w:hAnsi="Calibri"/>
                <w:color w:val="000000"/>
                <w:sz w:val="22"/>
              </w:rPr>
              <w:t>368,06</w:t>
            </w:r>
          </w:p>
        </w:tc>
        <w:tc>
          <w:tcPr>
            <w:tcW w:w="1168" w:type="dxa"/>
            <w:tcBorders>
              <w:top w:val="nil"/>
              <w:left w:val="nil"/>
              <w:bottom w:val="single" w:sz="4" w:space="0" w:color="auto"/>
              <w:right w:val="nil"/>
            </w:tcBorders>
            <w:shd w:val="clear" w:color="auto" w:fill="auto"/>
            <w:noWrap/>
            <w:vAlign w:val="center"/>
          </w:tcPr>
          <w:p w:rsidR="00BD1632" w:rsidRDefault="00BD1632" w:rsidP="00BD1632">
            <w:pPr>
              <w:jc w:val="center"/>
              <w:rPr>
                <w:rFonts w:ascii="Calibri" w:hAnsi="Calibri"/>
                <w:color w:val="000000"/>
                <w:sz w:val="22"/>
              </w:rPr>
            </w:pPr>
            <w:r>
              <w:rPr>
                <w:rFonts w:ascii="Calibri" w:hAnsi="Calibri"/>
                <w:color w:val="000000"/>
                <w:sz w:val="22"/>
              </w:rPr>
              <w:t>4.265,74</w:t>
            </w:r>
          </w:p>
        </w:tc>
        <w:tc>
          <w:tcPr>
            <w:tcW w:w="1291" w:type="dxa"/>
            <w:tcBorders>
              <w:top w:val="nil"/>
              <w:left w:val="nil"/>
              <w:bottom w:val="single" w:sz="4" w:space="0" w:color="auto"/>
              <w:right w:val="nil"/>
            </w:tcBorders>
            <w:shd w:val="clear" w:color="auto" w:fill="auto"/>
            <w:noWrap/>
            <w:vAlign w:val="center"/>
          </w:tcPr>
          <w:p w:rsidR="00BD1632" w:rsidRDefault="00BD1632" w:rsidP="00BD1632">
            <w:pPr>
              <w:jc w:val="center"/>
              <w:rPr>
                <w:rFonts w:ascii="Calibri" w:hAnsi="Calibri"/>
                <w:color w:val="000000"/>
                <w:sz w:val="22"/>
              </w:rPr>
            </w:pPr>
            <w:r>
              <w:rPr>
                <w:rFonts w:ascii="Calibri" w:hAnsi="Calibri"/>
                <w:color w:val="000000"/>
                <w:sz w:val="22"/>
              </w:rPr>
              <w:t>20.380,59</w:t>
            </w:r>
          </w:p>
        </w:tc>
        <w:tc>
          <w:tcPr>
            <w:tcW w:w="1373" w:type="dxa"/>
            <w:tcBorders>
              <w:top w:val="nil"/>
              <w:left w:val="nil"/>
              <w:bottom w:val="single" w:sz="4" w:space="0" w:color="auto"/>
              <w:right w:val="nil"/>
            </w:tcBorders>
            <w:shd w:val="clear" w:color="auto" w:fill="auto"/>
            <w:noWrap/>
            <w:vAlign w:val="center"/>
          </w:tcPr>
          <w:p w:rsidR="00BD1632" w:rsidRDefault="00BD1632" w:rsidP="00BD1632">
            <w:pPr>
              <w:jc w:val="center"/>
              <w:rPr>
                <w:rFonts w:ascii="Calibri" w:hAnsi="Calibri"/>
                <w:color w:val="000000"/>
                <w:sz w:val="22"/>
              </w:rPr>
            </w:pPr>
            <w:r>
              <w:rPr>
                <w:rFonts w:ascii="Calibri" w:hAnsi="Calibri"/>
                <w:color w:val="000000"/>
                <w:sz w:val="22"/>
              </w:rPr>
              <w:t>885,39</w:t>
            </w:r>
          </w:p>
        </w:tc>
        <w:tc>
          <w:tcPr>
            <w:tcW w:w="1394" w:type="dxa"/>
            <w:tcBorders>
              <w:top w:val="nil"/>
              <w:left w:val="nil"/>
              <w:bottom w:val="single" w:sz="4" w:space="0" w:color="auto"/>
              <w:right w:val="nil"/>
            </w:tcBorders>
            <w:shd w:val="clear" w:color="auto" w:fill="auto"/>
            <w:noWrap/>
            <w:vAlign w:val="center"/>
          </w:tcPr>
          <w:p w:rsidR="00BD1632" w:rsidRPr="00BD1632" w:rsidRDefault="00BD1632" w:rsidP="00BD1632">
            <w:pPr>
              <w:jc w:val="center"/>
              <w:rPr>
                <w:rFonts w:ascii="Calibri" w:hAnsi="Calibri"/>
                <w:color w:val="FF0000"/>
                <w:sz w:val="22"/>
              </w:rPr>
            </w:pPr>
            <w:r w:rsidRPr="00BD1632">
              <w:rPr>
                <w:rFonts w:ascii="Calibri" w:hAnsi="Calibri"/>
                <w:color w:val="FF0000"/>
                <w:sz w:val="22"/>
              </w:rPr>
              <w:t>-2.182,46</w:t>
            </w:r>
          </w:p>
        </w:tc>
      </w:tr>
      <w:tr w:rsidR="00BD1632" w:rsidRPr="008328EC" w:rsidTr="006B3ECB">
        <w:trPr>
          <w:trHeight w:val="300"/>
        </w:trPr>
        <w:tc>
          <w:tcPr>
            <w:tcW w:w="529" w:type="dxa"/>
            <w:tcBorders>
              <w:top w:val="nil"/>
              <w:left w:val="nil"/>
              <w:bottom w:val="single" w:sz="4" w:space="0" w:color="auto"/>
              <w:right w:val="nil"/>
            </w:tcBorders>
            <w:shd w:val="clear" w:color="auto" w:fill="auto"/>
            <w:noWrap/>
            <w:vAlign w:val="center"/>
          </w:tcPr>
          <w:p w:rsidR="00BD1632" w:rsidRDefault="00BD1632" w:rsidP="00BD1632">
            <w:pPr>
              <w:jc w:val="center"/>
              <w:rPr>
                <w:rFonts w:ascii="Calibri" w:hAnsi="Calibri"/>
                <w:color w:val="000000"/>
                <w:sz w:val="22"/>
              </w:rPr>
            </w:pPr>
            <w:r>
              <w:rPr>
                <w:rFonts w:ascii="Calibri" w:hAnsi="Calibri"/>
                <w:color w:val="000000"/>
                <w:sz w:val="22"/>
              </w:rPr>
              <w:t>13</w:t>
            </w:r>
          </w:p>
        </w:tc>
        <w:tc>
          <w:tcPr>
            <w:tcW w:w="1096" w:type="dxa"/>
            <w:tcBorders>
              <w:top w:val="nil"/>
              <w:left w:val="nil"/>
              <w:bottom w:val="single" w:sz="4" w:space="0" w:color="auto"/>
              <w:right w:val="nil"/>
            </w:tcBorders>
            <w:shd w:val="clear" w:color="auto" w:fill="auto"/>
            <w:noWrap/>
            <w:vAlign w:val="center"/>
          </w:tcPr>
          <w:p w:rsidR="00BD1632" w:rsidRDefault="00BD1632" w:rsidP="00BD1632">
            <w:pPr>
              <w:jc w:val="center"/>
              <w:rPr>
                <w:rFonts w:ascii="Calibri" w:hAnsi="Calibri"/>
                <w:color w:val="000000"/>
                <w:sz w:val="22"/>
              </w:rPr>
            </w:pPr>
            <w:r>
              <w:rPr>
                <w:rFonts w:ascii="Calibri" w:hAnsi="Calibri"/>
                <w:color w:val="000000"/>
                <w:sz w:val="22"/>
              </w:rPr>
              <w:t>5.157,92</w:t>
            </w:r>
          </w:p>
        </w:tc>
        <w:tc>
          <w:tcPr>
            <w:tcW w:w="1174" w:type="dxa"/>
            <w:gridSpan w:val="2"/>
            <w:tcBorders>
              <w:top w:val="nil"/>
              <w:left w:val="nil"/>
              <w:bottom w:val="single" w:sz="4" w:space="0" w:color="auto"/>
              <w:right w:val="nil"/>
            </w:tcBorders>
            <w:shd w:val="clear" w:color="auto" w:fill="auto"/>
            <w:noWrap/>
            <w:vAlign w:val="center"/>
          </w:tcPr>
          <w:p w:rsidR="00BD1632" w:rsidRDefault="00BD1632" w:rsidP="00BD1632">
            <w:pPr>
              <w:jc w:val="center"/>
              <w:rPr>
                <w:rFonts w:ascii="Calibri" w:hAnsi="Calibri"/>
                <w:color w:val="000000"/>
                <w:sz w:val="22"/>
              </w:rPr>
            </w:pPr>
            <w:r>
              <w:rPr>
                <w:rFonts w:ascii="Calibri" w:hAnsi="Calibri"/>
                <w:color w:val="000000"/>
                <w:sz w:val="22"/>
              </w:rPr>
              <w:t>303,00</w:t>
            </w:r>
          </w:p>
        </w:tc>
        <w:tc>
          <w:tcPr>
            <w:tcW w:w="1307" w:type="dxa"/>
            <w:gridSpan w:val="2"/>
            <w:tcBorders>
              <w:top w:val="nil"/>
              <w:left w:val="nil"/>
              <w:bottom w:val="single" w:sz="4" w:space="0" w:color="auto"/>
              <w:right w:val="nil"/>
            </w:tcBorders>
            <w:shd w:val="clear" w:color="auto" w:fill="auto"/>
            <w:noWrap/>
            <w:vAlign w:val="center"/>
          </w:tcPr>
          <w:p w:rsidR="00BD1632" w:rsidRDefault="00BD1632" w:rsidP="00BD1632">
            <w:pPr>
              <w:jc w:val="center"/>
              <w:rPr>
                <w:rFonts w:ascii="Calibri" w:hAnsi="Calibri"/>
                <w:color w:val="000000"/>
                <w:sz w:val="22"/>
              </w:rPr>
            </w:pPr>
            <w:r>
              <w:rPr>
                <w:rFonts w:ascii="Calibri" w:hAnsi="Calibri"/>
                <w:color w:val="000000"/>
                <w:sz w:val="22"/>
              </w:rPr>
              <w:t>389,22</w:t>
            </w:r>
          </w:p>
        </w:tc>
        <w:tc>
          <w:tcPr>
            <w:tcW w:w="1168" w:type="dxa"/>
            <w:tcBorders>
              <w:top w:val="nil"/>
              <w:left w:val="nil"/>
              <w:bottom w:val="single" w:sz="4" w:space="0" w:color="auto"/>
              <w:right w:val="nil"/>
            </w:tcBorders>
            <w:shd w:val="clear" w:color="auto" w:fill="auto"/>
            <w:noWrap/>
            <w:vAlign w:val="center"/>
          </w:tcPr>
          <w:p w:rsidR="00BD1632" w:rsidRDefault="00BD1632" w:rsidP="00BD1632">
            <w:pPr>
              <w:jc w:val="center"/>
              <w:rPr>
                <w:rFonts w:ascii="Calibri" w:hAnsi="Calibri"/>
                <w:color w:val="000000"/>
                <w:sz w:val="22"/>
              </w:rPr>
            </w:pPr>
            <w:r>
              <w:rPr>
                <w:rFonts w:ascii="Calibri" w:hAnsi="Calibri"/>
                <w:color w:val="000000"/>
                <w:sz w:val="22"/>
              </w:rPr>
              <w:t>4.465,70</w:t>
            </w:r>
          </w:p>
        </w:tc>
        <w:tc>
          <w:tcPr>
            <w:tcW w:w="1291" w:type="dxa"/>
            <w:tcBorders>
              <w:top w:val="nil"/>
              <w:left w:val="nil"/>
              <w:bottom w:val="single" w:sz="4" w:space="0" w:color="auto"/>
              <w:right w:val="nil"/>
            </w:tcBorders>
            <w:shd w:val="clear" w:color="auto" w:fill="auto"/>
            <w:noWrap/>
            <w:vAlign w:val="center"/>
          </w:tcPr>
          <w:p w:rsidR="00BD1632" w:rsidRDefault="00BD1632" w:rsidP="00BD1632">
            <w:pPr>
              <w:jc w:val="center"/>
              <w:rPr>
                <w:rFonts w:ascii="Calibri" w:hAnsi="Calibri"/>
                <w:color w:val="000000"/>
                <w:sz w:val="22"/>
              </w:rPr>
            </w:pPr>
            <w:r>
              <w:rPr>
                <w:rFonts w:ascii="Calibri" w:hAnsi="Calibri"/>
                <w:color w:val="000000"/>
                <w:sz w:val="22"/>
              </w:rPr>
              <w:t>24.846,29</w:t>
            </w:r>
          </w:p>
        </w:tc>
        <w:tc>
          <w:tcPr>
            <w:tcW w:w="1373" w:type="dxa"/>
            <w:tcBorders>
              <w:top w:val="nil"/>
              <w:left w:val="nil"/>
              <w:bottom w:val="single" w:sz="4" w:space="0" w:color="auto"/>
              <w:right w:val="nil"/>
            </w:tcBorders>
            <w:shd w:val="clear" w:color="auto" w:fill="auto"/>
            <w:noWrap/>
            <w:vAlign w:val="center"/>
          </w:tcPr>
          <w:p w:rsidR="00BD1632" w:rsidRDefault="00BD1632" w:rsidP="00BD1632">
            <w:pPr>
              <w:jc w:val="center"/>
              <w:rPr>
                <w:rFonts w:ascii="Calibri" w:hAnsi="Calibri"/>
                <w:color w:val="000000"/>
                <w:sz w:val="22"/>
              </w:rPr>
            </w:pPr>
            <w:r>
              <w:rPr>
                <w:rFonts w:ascii="Calibri" w:hAnsi="Calibri"/>
                <w:color w:val="000000"/>
                <w:sz w:val="22"/>
              </w:rPr>
              <w:t>813,07</w:t>
            </w:r>
          </w:p>
        </w:tc>
        <w:tc>
          <w:tcPr>
            <w:tcW w:w="1394" w:type="dxa"/>
            <w:tcBorders>
              <w:top w:val="nil"/>
              <w:left w:val="nil"/>
              <w:bottom w:val="single" w:sz="4" w:space="0" w:color="auto"/>
              <w:right w:val="nil"/>
            </w:tcBorders>
            <w:shd w:val="clear" w:color="auto" w:fill="auto"/>
            <w:noWrap/>
            <w:vAlign w:val="center"/>
          </w:tcPr>
          <w:p w:rsidR="00BD1632" w:rsidRPr="00BD1632" w:rsidRDefault="00BD1632" w:rsidP="00BD1632">
            <w:pPr>
              <w:jc w:val="center"/>
              <w:rPr>
                <w:rFonts w:ascii="Calibri" w:hAnsi="Calibri"/>
                <w:color w:val="FF0000"/>
                <w:sz w:val="22"/>
              </w:rPr>
            </w:pPr>
            <w:r w:rsidRPr="00BD1632">
              <w:rPr>
                <w:rFonts w:ascii="Calibri" w:hAnsi="Calibri"/>
                <w:color w:val="FF0000"/>
                <w:sz w:val="22"/>
              </w:rPr>
              <w:t>-1.369,40</w:t>
            </w:r>
          </w:p>
        </w:tc>
      </w:tr>
      <w:tr w:rsidR="00BD1632" w:rsidRPr="008328EC" w:rsidTr="006B3ECB">
        <w:trPr>
          <w:trHeight w:val="300"/>
        </w:trPr>
        <w:tc>
          <w:tcPr>
            <w:tcW w:w="529" w:type="dxa"/>
            <w:tcBorders>
              <w:top w:val="nil"/>
              <w:left w:val="nil"/>
              <w:bottom w:val="single" w:sz="4" w:space="0" w:color="auto"/>
              <w:right w:val="nil"/>
            </w:tcBorders>
            <w:shd w:val="clear" w:color="auto" w:fill="auto"/>
            <w:noWrap/>
            <w:vAlign w:val="center"/>
          </w:tcPr>
          <w:p w:rsidR="00BD1632" w:rsidRDefault="00BD1632" w:rsidP="00BD1632">
            <w:pPr>
              <w:jc w:val="center"/>
              <w:rPr>
                <w:rFonts w:ascii="Calibri" w:hAnsi="Calibri"/>
                <w:color w:val="000000"/>
                <w:sz w:val="22"/>
              </w:rPr>
            </w:pPr>
            <w:r>
              <w:rPr>
                <w:rFonts w:ascii="Calibri" w:hAnsi="Calibri"/>
                <w:color w:val="000000"/>
                <w:sz w:val="22"/>
              </w:rPr>
              <w:t>14</w:t>
            </w:r>
          </w:p>
        </w:tc>
        <w:tc>
          <w:tcPr>
            <w:tcW w:w="1096" w:type="dxa"/>
            <w:tcBorders>
              <w:top w:val="nil"/>
              <w:left w:val="nil"/>
              <w:bottom w:val="single" w:sz="4" w:space="0" w:color="auto"/>
              <w:right w:val="nil"/>
            </w:tcBorders>
            <w:shd w:val="clear" w:color="auto" w:fill="auto"/>
            <w:noWrap/>
            <w:vAlign w:val="center"/>
          </w:tcPr>
          <w:p w:rsidR="00BD1632" w:rsidRDefault="00BD1632" w:rsidP="00BD1632">
            <w:pPr>
              <w:jc w:val="center"/>
              <w:rPr>
                <w:rFonts w:ascii="Calibri" w:hAnsi="Calibri"/>
                <w:color w:val="000000"/>
                <w:sz w:val="22"/>
              </w:rPr>
            </w:pPr>
            <w:r>
              <w:rPr>
                <w:rFonts w:ascii="Calibri" w:hAnsi="Calibri"/>
                <w:color w:val="000000"/>
                <w:sz w:val="22"/>
              </w:rPr>
              <w:t>5.405,50</w:t>
            </w:r>
          </w:p>
        </w:tc>
        <w:tc>
          <w:tcPr>
            <w:tcW w:w="1174" w:type="dxa"/>
            <w:gridSpan w:val="2"/>
            <w:tcBorders>
              <w:top w:val="nil"/>
              <w:left w:val="nil"/>
              <w:bottom w:val="single" w:sz="4" w:space="0" w:color="auto"/>
              <w:right w:val="nil"/>
            </w:tcBorders>
            <w:shd w:val="clear" w:color="auto" w:fill="auto"/>
            <w:noWrap/>
            <w:vAlign w:val="center"/>
          </w:tcPr>
          <w:p w:rsidR="00BD1632" w:rsidRDefault="00BD1632" w:rsidP="00BD1632">
            <w:pPr>
              <w:jc w:val="center"/>
              <w:rPr>
                <w:rFonts w:ascii="Calibri" w:hAnsi="Calibri"/>
                <w:color w:val="000000"/>
                <w:sz w:val="22"/>
              </w:rPr>
            </w:pPr>
            <w:r>
              <w:rPr>
                <w:rFonts w:ascii="Calibri" w:hAnsi="Calibri"/>
                <w:color w:val="000000"/>
                <w:sz w:val="22"/>
              </w:rPr>
              <w:t>318,90</w:t>
            </w:r>
          </w:p>
        </w:tc>
        <w:tc>
          <w:tcPr>
            <w:tcW w:w="1307" w:type="dxa"/>
            <w:gridSpan w:val="2"/>
            <w:tcBorders>
              <w:top w:val="nil"/>
              <w:left w:val="nil"/>
              <w:bottom w:val="single" w:sz="4" w:space="0" w:color="auto"/>
              <w:right w:val="nil"/>
            </w:tcBorders>
            <w:shd w:val="clear" w:color="auto" w:fill="auto"/>
            <w:noWrap/>
            <w:vAlign w:val="center"/>
          </w:tcPr>
          <w:p w:rsidR="00BD1632" w:rsidRDefault="00BD1632" w:rsidP="00BD1632">
            <w:pPr>
              <w:jc w:val="center"/>
              <w:rPr>
                <w:rFonts w:ascii="Calibri" w:hAnsi="Calibri"/>
                <w:color w:val="000000"/>
                <w:sz w:val="22"/>
              </w:rPr>
            </w:pPr>
            <w:r>
              <w:rPr>
                <w:rFonts w:ascii="Calibri" w:hAnsi="Calibri"/>
                <w:color w:val="000000"/>
                <w:sz w:val="22"/>
              </w:rPr>
              <w:t>411,60</w:t>
            </w:r>
          </w:p>
        </w:tc>
        <w:tc>
          <w:tcPr>
            <w:tcW w:w="1168" w:type="dxa"/>
            <w:tcBorders>
              <w:top w:val="nil"/>
              <w:left w:val="nil"/>
              <w:bottom w:val="single" w:sz="4" w:space="0" w:color="auto"/>
              <w:right w:val="nil"/>
            </w:tcBorders>
            <w:shd w:val="clear" w:color="auto" w:fill="auto"/>
            <w:noWrap/>
            <w:vAlign w:val="center"/>
          </w:tcPr>
          <w:p w:rsidR="00BD1632" w:rsidRDefault="00BD1632" w:rsidP="00BD1632">
            <w:pPr>
              <w:jc w:val="center"/>
              <w:rPr>
                <w:rFonts w:ascii="Calibri" w:hAnsi="Calibri"/>
                <w:color w:val="000000"/>
                <w:sz w:val="22"/>
              </w:rPr>
            </w:pPr>
            <w:r>
              <w:rPr>
                <w:rFonts w:ascii="Calibri" w:hAnsi="Calibri"/>
                <w:color w:val="000000"/>
                <w:sz w:val="22"/>
              </w:rPr>
              <w:t>4.675,00</w:t>
            </w:r>
          </w:p>
        </w:tc>
        <w:tc>
          <w:tcPr>
            <w:tcW w:w="1291" w:type="dxa"/>
            <w:tcBorders>
              <w:top w:val="nil"/>
              <w:left w:val="nil"/>
              <w:bottom w:val="single" w:sz="4" w:space="0" w:color="auto"/>
              <w:right w:val="nil"/>
            </w:tcBorders>
            <w:shd w:val="clear" w:color="auto" w:fill="auto"/>
            <w:noWrap/>
            <w:vAlign w:val="center"/>
          </w:tcPr>
          <w:p w:rsidR="00BD1632" w:rsidRDefault="00BD1632" w:rsidP="00BD1632">
            <w:pPr>
              <w:jc w:val="center"/>
              <w:rPr>
                <w:rFonts w:ascii="Calibri" w:hAnsi="Calibri"/>
                <w:color w:val="000000"/>
                <w:sz w:val="22"/>
              </w:rPr>
            </w:pPr>
            <w:r>
              <w:rPr>
                <w:rFonts w:ascii="Calibri" w:hAnsi="Calibri"/>
                <w:color w:val="000000"/>
                <w:sz w:val="22"/>
              </w:rPr>
              <w:t>29.521,29</w:t>
            </w:r>
          </w:p>
        </w:tc>
        <w:tc>
          <w:tcPr>
            <w:tcW w:w="1373" w:type="dxa"/>
            <w:tcBorders>
              <w:top w:val="nil"/>
              <w:left w:val="nil"/>
              <w:bottom w:val="single" w:sz="4" w:space="0" w:color="auto"/>
              <w:right w:val="nil"/>
            </w:tcBorders>
            <w:shd w:val="clear" w:color="auto" w:fill="auto"/>
            <w:noWrap/>
            <w:vAlign w:val="center"/>
          </w:tcPr>
          <w:p w:rsidR="00BD1632" w:rsidRDefault="00BD1632" w:rsidP="00BD1632">
            <w:pPr>
              <w:jc w:val="center"/>
              <w:rPr>
                <w:rFonts w:ascii="Calibri" w:hAnsi="Calibri"/>
                <w:color w:val="000000"/>
                <w:sz w:val="22"/>
              </w:rPr>
            </w:pPr>
            <w:r>
              <w:rPr>
                <w:rFonts w:ascii="Calibri" w:hAnsi="Calibri"/>
                <w:color w:val="000000"/>
                <w:sz w:val="22"/>
              </w:rPr>
              <w:t>746,64</w:t>
            </w:r>
          </w:p>
        </w:tc>
        <w:tc>
          <w:tcPr>
            <w:tcW w:w="1394" w:type="dxa"/>
            <w:tcBorders>
              <w:top w:val="nil"/>
              <w:left w:val="nil"/>
              <w:bottom w:val="single" w:sz="4" w:space="0" w:color="auto"/>
              <w:right w:val="nil"/>
            </w:tcBorders>
            <w:shd w:val="clear" w:color="auto" w:fill="auto"/>
            <w:noWrap/>
            <w:vAlign w:val="center"/>
          </w:tcPr>
          <w:p w:rsidR="00BD1632" w:rsidRPr="00BD1632" w:rsidRDefault="00BD1632" w:rsidP="00BD1632">
            <w:pPr>
              <w:jc w:val="center"/>
              <w:rPr>
                <w:rFonts w:ascii="Calibri" w:hAnsi="Calibri"/>
                <w:color w:val="FF0000"/>
                <w:sz w:val="22"/>
              </w:rPr>
            </w:pPr>
            <w:r w:rsidRPr="00BD1632">
              <w:rPr>
                <w:rFonts w:ascii="Calibri" w:hAnsi="Calibri"/>
                <w:color w:val="FF0000"/>
                <w:sz w:val="22"/>
              </w:rPr>
              <w:t>-622,75</w:t>
            </w:r>
          </w:p>
        </w:tc>
      </w:tr>
      <w:tr w:rsidR="00BD1632" w:rsidRPr="008328EC" w:rsidTr="006B3ECB">
        <w:trPr>
          <w:trHeight w:val="300"/>
        </w:trPr>
        <w:tc>
          <w:tcPr>
            <w:tcW w:w="529" w:type="dxa"/>
            <w:tcBorders>
              <w:top w:val="nil"/>
              <w:left w:val="nil"/>
              <w:bottom w:val="single" w:sz="4" w:space="0" w:color="auto"/>
              <w:right w:val="nil"/>
            </w:tcBorders>
            <w:shd w:val="clear" w:color="auto" w:fill="auto"/>
            <w:noWrap/>
            <w:vAlign w:val="center"/>
          </w:tcPr>
          <w:p w:rsidR="00BD1632" w:rsidRDefault="00BD1632" w:rsidP="00BD1632">
            <w:pPr>
              <w:jc w:val="center"/>
              <w:rPr>
                <w:rFonts w:ascii="Calibri" w:hAnsi="Calibri"/>
                <w:color w:val="000000"/>
                <w:sz w:val="22"/>
              </w:rPr>
            </w:pPr>
            <w:r>
              <w:rPr>
                <w:rFonts w:ascii="Calibri" w:hAnsi="Calibri"/>
                <w:color w:val="000000"/>
                <w:sz w:val="22"/>
              </w:rPr>
              <w:t>15</w:t>
            </w:r>
          </w:p>
        </w:tc>
        <w:tc>
          <w:tcPr>
            <w:tcW w:w="1096" w:type="dxa"/>
            <w:tcBorders>
              <w:top w:val="nil"/>
              <w:left w:val="nil"/>
              <w:bottom w:val="single" w:sz="4" w:space="0" w:color="auto"/>
              <w:right w:val="nil"/>
            </w:tcBorders>
            <w:shd w:val="clear" w:color="auto" w:fill="auto"/>
            <w:noWrap/>
            <w:vAlign w:val="center"/>
          </w:tcPr>
          <w:p w:rsidR="00BD1632" w:rsidRDefault="00BD1632" w:rsidP="00BD1632">
            <w:pPr>
              <w:jc w:val="center"/>
              <w:rPr>
                <w:rFonts w:ascii="Calibri" w:hAnsi="Calibri"/>
                <w:color w:val="000000"/>
                <w:sz w:val="22"/>
              </w:rPr>
            </w:pPr>
            <w:r>
              <w:rPr>
                <w:rFonts w:ascii="Calibri" w:hAnsi="Calibri"/>
                <w:color w:val="000000"/>
                <w:sz w:val="22"/>
              </w:rPr>
              <w:t>5.664,96</w:t>
            </w:r>
          </w:p>
        </w:tc>
        <w:tc>
          <w:tcPr>
            <w:tcW w:w="1174" w:type="dxa"/>
            <w:gridSpan w:val="2"/>
            <w:tcBorders>
              <w:top w:val="nil"/>
              <w:left w:val="nil"/>
              <w:bottom w:val="single" w:sz="4" w:space="0" w:color="auto"/>
              <w:right w:val="nil"/>
            </w:tcBorders>
            <w:shd w:val="clear" w:color="auto" w:fill="auto"/>
            <w:noWrap/>
            <w:vAlign w:val="center"/>
          </w:tcPr>
          <w:p w:rsidR="00BD1632" w:rsidRDefault="00BD1632" w:rsidP="00BD1632">
            <w:pPr>
              <w:jc w:val="center"/>
              <w:rPr>
                <w:rFonts w:ascii="Calibri" w:hAnsi="Calibri"/>
                <w:color w:val="000000"/>
                <w:sz w:val="22"/>
              </w:rPr>
            </w:pPr>
            <w:r>
              <w:rPr>
                <w:rFonts w:ascii="Calibri" w:hAnsi="Calibri"/>
                <w:color w:val="000000"/>
                <w:sz w:val="22"/>
              </w:rPr>
              <w:t>335,65</w:t>
            </w:r>
          </w:p>
        </w:tc>
        <w:tc>
          <w:tcPr>
            <w:tcW w:w="1307" w:type="dxa"/>
            <w:gridSpan w:val="2"/>
            <w:tcBorders>
              <w:top w:val="nil"/>
              <w:left w:val="nil"/>
              <w:bottom w:val="single" w:sz="4" w:space="0" w:color="auto"/>
              <w:right w:val="nil"/>
            </w:tcBorders>
            <w:shd w:val="clear" w:color="auto" w:fill="auto"/>
            <w:noWrap/>
            <w:vAlign w:val="center"/>
          </w:tcPr>
          <w:p w:rsidR="00BD1632" w:rsidRDefault="00BD1632" w:rsidP="00BD1632">
            <w:pPr>
              <w:jc w:val="center"/>
              <w:rPr>
                <w:rFonts w:ascii="Calibri" w:hAnsi="Calibri"/>
                <w:color w:val="000000"/>
                <w:sz w:val="22"/>
              </w:rPr>
            </w:pPr>
            <w:r>
              <w:rPr>
                <w:rFonts w:ascii="Calibri" w:hAnsi="Calibri"/>
                <w:color w:val="000000"/>
                <w:sz w:val="22"/>
              </w:rPr>
              <w:t>435,27</w:t>
            </w:r>
          </w:p>
        </w:tc>
        <w:tc>
          <w:tcPr>
            <w:tcW w:w="1168" w:type="dxa"/>
            <w:tcBorders>
              <w:top w:val="nil"/>
              <w:left w:val="nil"/>
              <w:bottom w:val="single" w:sz="4" w:space="0" w:color="auto"/>
              <w:right w:val="nil"/>
            </w:tcBorders>
            <w:shd w:val="clear" w:color="auto" w:fill="auto"/>
            <w:noWrap/>
            <w:vAlign w:val="center"/>
          </w:tcPr>
          <w:p w:rsidR="00BD1632" w:rsidRDefault="00BD1632" w:rsidP="00BD1632">
            <w:pPr>
              <w:jc w:val="center"/>
              <w:rPr>
                <w:rFonts w:ascii="Calibri" w:hAnsi="Calibri"/>
                <w:color w:val="000000"/>
                <w:sz w:val="22"/>
              </w:rPr>
            </w:pPr>
            <w:r>
              <w:rPr>
                <w:rFonts w:ascii="Calibri" w:hAnsi="Calibri"/>
                <w:color w:val="000000"/>
                <w:sz w:val="22"/>
              </w:rPr>
              <w:t>4.894,05</w:t>
            </w:r>
          </w:p>
        </w:tc>
        <w:tc>
          <w:tcPr>
            <w:tcW w:w="1291" w:type="dxa"/>
            <w:tcBorders>
              <w:top w:val="nil"/>
              <w:left w:val="nil"/>
              <w:bottom w:val="single" w:sz="4" w:space="0" w:color="auto"/>
              <w:right w:val="nil"/>
            </w:tcBorders>
            <w:shd w:val="clear" w:color="auto" w:fill="auto"/>
            <w:noWrap/>
            <w:vAlign w:val="center"/>
          </w:tcPr>
          <w:p w:rsidR="00BD1632" w:rsidRDefault="00BD1632" w:rsidP="00BD1632">
            <w:pPr>
              <w:jc w:val="center"/>
              <w:rPr>
                <w:rFonts w:ascii="Calibri" w:hAnsi="Calibri"/>
                <w:color w:val="000000"/>
                <w:sz w:val="22"/>
              </w:rPr>
            </w:pPr>
            <w:r>
              <w:rPr>
                <w:rFonts w:ascii="Calibri" w:hAnsi="Calibri"/>
                <w:color w:val="000000"/>
                <w:sz w:val="22"/>
              </w:rPr>
              <w:t>34.415,34</w:t>
            </w:r>
          </w:p>
        </w:tc>
        <w:tc>
          <w:tcPr>
            <w:tcW w:w="1373" w:type="dxa"/>
            <w:tcBorders>
              <w:top w:val="nil"/>
              <w:left w:val="nil"/>
              <w:bottom w:val="single" w:sz="4" w:space="0" w:color="auto"/>
              <w:right w:val="nil"/>
            </w:tcBorders>
            <w:shd w:val="clear" w:color="auto" w:fill="auto"/>
            <w:noWrap/>
            <w:vAlign w:val="center"/>
          </w:tcPr>
          <w:p w:rsidR="00BD1632" w:rsidRDefault="00BD1632" w:rsidP="00BD1632">
            <w:pPr>
              <w:jc w:val="center"/>
              <w:rPr>
                <w:rFonts w:ascii="Calibri" w:hAnsi="Calibri"/>
                <w:color w:val="000000"/>
                <w:sz w:val="22"/>
              </w:rPr>
            </w:pPr>
            <w:r>
              <w:rPr>
                <w:rFonts w:ascii="Calibri" w:hAnsi="Calibri"/>
                <w:color w:val="000000"/>
                <w:sz w:val="22"/>
              </w:rPr>
              <w:t>685,64</w:t>
            </w:r>
          </w:p>
        </w:tc>
        <w:tc>
          <w:tcPr>
            <w:tcW w:w="1394" w:type="dxa"/>
            <w:tcBorders>
              <w:top w:val="nil"/>
              <w:left w:val="nil"/>
              <w:bottom w:val="single" w:sz="4" w:space="0" w:color="auto"/>
              <w:right w:val="nil"/>
            </w:tcBorders>
            <w:shd w:val="clear" w:color="auto" w:fill="auto"/>
            <w:noWrap/>
            <w:vAlign w:val="center"/>
          </w:tcPr>
          <w:p w:rsidR="00BD1632" w:rsidRDefault="00BD1632" w:rsidP="00BD1632">
            <w:pPr>
              <w:jc w:val="center"/>
              <w:rPr>
                <w:rFonts w:ascii="Calibri" w:hAnsi="Calibri"/>
                <w:color w:val="000000"/>
                <w:sz w:val="22"/>
              </w:rPr>
            </w:pPr>
            <w:r>
              <w:rPr>
                <w:rFonts w:ascii="Calibri" w:hAnsi="Calibri"/>
                <w:color w:val="000000"/>
                <w:sz w:val="22"/>
              </w:rPr>
              <w:t>62,89</w:t>
            </w:r>
          </w:p>
        </w:tc>
      </w:tr>
      <w:tr w:rsidR="00BD1632" w:rsidRPr="008328EC" w:rsidTr="006B3ECB">
        <w:trPr>
          <w:trHeight w:val="300"/>
        </w:trPr>
        <w:tc>
          <w:tcPr>
            <w:tcW w:w="529" w:type="dxa"/>
            <w:tcBorders>
              <w:top w:val="nil"/>
              <w:left w:val="nil"/>
              <w:bottom w:val="single" w:sz="4" w:space="0" w:color="auto"/>
              <w:right w:val="nil"/>
            </w:tcBorders>
            <w:shd w:val="clear" w:color="auto" w:fill="auto"/>
            <w:noWrap/>
            <w:vAlign w:val="center"/>
          </w:tcPr>
          <w:p w:rsidR="00BD1632" w:rsidRDefault="00BD1632" w:rsidP="00BD1632">
            <w:pPr>
              <w:jc w:val="center"/>
              <w:rPr>
                <w:rFonts w:ascii="Calibri" w:hAnsi="Calibri"/>
                <w:color w:val="000000"/>
                <w:sz w:val="22"/>
              </w:rPr>
            </w:pPr>
            <w:r>
              <w:rPr>
                <w:rFonts w:ascii="Calibri" w:hAnsi="Calibri"/>
                <w:color w:val="000000"/>
                <w:sz w:val="22"/>
              </w:rPr>
              <w:t>16</w:t>
            </w:r>
          </w:p>
        </w:tc>
        <w:tc>
          <w:tcPr>
            <w:tcW w:w="1096" w:type="dxa"/>
            <w:tcBorders>
              <w:top w:val="nil"/>
              <w:left w:val="nil"/>
              <w:bottom w:val="single" w:sz="4" w:space="0" w:color="auto"/>
              <w:right w:val="nil"/>
            </w:tcBorders>
            <w:shd w:val="clear" w:color="auto" w:fill="auto"/>
            <w:noWrap/>
            <w:vAlign w:val="center"/>
          </w:tcPr>
          <w:p w:rsidR="00BD1632" w:rsidRDefault="00BD1632" w:rsidP="00BD1632">
            <w:pPr>
              <w:jc w:val="center"/>
              <w:rPr>
                <w:rFonts w:ascii="Calibri" w:hAnsi="Calibri"/>
                <w:color w:val="000000"/>
                <w:sz w:val="22"/>
              </w:rPr>
            </w:pPr>
            <w:r>
              <w:rPr>
                <w:rFonts w:ascii="Calibri" w:hAnsi="Calibri"/>
                <w:color w:val="000000"/>
                <w:sz w:val="22"/>
              </w:rPr>
              <w:t>5.936,88</w:t>
            </w:r>
          </w:p>
        </w:tc>
        <w:tc>
          <w:tcPr>
            <w:tcW w:w="1174" w:type="dxa"/>
            <w:gridSpan w:val="2"/>
            <w:tcBorders>
              <w:top w:val="nil"/>
              <w:left w:val="nil"/>
              <w:bottom w:val="single" w:sz="4" w:space="0" w:color="auto"/>
              <w:right w:val="nil"/>
            </w:tcBorders>
            <w:shd w:val="clear" w:color="auto" w:fill="auto"/>
            <w:noWrap/>
            <w:vAlign w:val="center"/>
          </w:tcPr>
          <w:p w:rsidR="00BD1632" w:rsidRDefault="00BD1632" w:rsidP="00BD1632">
            <w:pPr>
              <w:jc w:val="center"/>
              <w:rPr>
                <w:rFonts w:ascii="Calibri" w:hAnsi="Calibri"/>
                <w:color w:val="000000"/>
                <w:sz w:val="22"/>
              </w:rPr>
            </w:pPr>
            <w:r>
              <w:rPr>
                <w:rFonts w:ascii="Calibri" w:hAnsi="Calibri"/>
                <w:color w:val="000000"/>
                <w:sz w:val="22"/>
              </w:rPr>
              <w:t>353,27</w:t>
            </w:r>
          </w:p>
        </w:tc>
        <w:tc>
          <w:tcPr>
            <w:tcW w:w="1307" w:type="dxa"/>
            <w:gridSpan w:val="2"/>
            <w:tcBorders>
              <w:top w:val="nil"/>
              <w:left w:val="nil"/>
              <w:bottom w:val="single" w:sz="4" w:space="0" w:color="auto"/>
              <w:right w:val="nil"/>
            </w:tcBorders>
            <w:shd w:val="clear" w:color="auto" w:fill="auto"/>
            <w:noWrap/>
            <w:vAlign w:val="center"/>
          </w:tcPr>
          <w:p w:rsidR="00BD1632" w:rsidRDefault="00BD1632" w:rsidP="00BD1632">
            <w:pPr>
              <w:jc w:val="center"/>
              <w:rPr>
                <w:rFonts w:ascii="Calibri" w:hAnsi="Calibri"/>
                <w:color w:val="000000"/>
                <w:sz w:val="22"/>
              </w:rPr>
            </w:pPr>
            <w:r>
              <w:rPr>
                <w:rFonts w:ascii="Calibri" w:hAnsi="Calibri"/>
                <w:color w:val="000000"/>
                <w:sz w:val="22"/>
              </w:rPr>
              <w:t>460,30</w:t>
            </w:r>
          </w:p>
        </w:tc>
        <w:tc>
          <w:tcPr>
            <w:tcW w:w="1168" w:type="dxa"/>
            <w:tcBorders>
              <w:top w:val="nil"/>
              <w:left w:val="nil"/>
              <w:bottom w:val="single" w:sz="4" w:space="0" w:color="auto"/>
              <w:right w:val="nil"/>
            </w:tcBorders>
            <w:shd w:val="clear" w:color="auto" w:fill="auto"/>
            <w:noWrap/>
            <w:vAlign w:val="center"/>
          </w:tcPr>
          <w:p w:rsidR="00BD1632" w:rsidRDefault="00BD1632" w:rsidP="00BD1632">
            <w:pPr>
              <w:jc w:val="center"/>
              <w:rPr>
                <w:rFonts w:ascii="Calibri" w:hAnsi="Calibri"/>
                <w:color w:val="000000"/>
                <w:sz w:val="22"/>
              </w:rPr>
            </w:pPr>
            <w:r>
              <w:rPr>
                <w:rFonts w:ascii="Calibri" w:hAnsi="Calibri"/>
                <w:color w:val="000000"/>
                <w:sz w:val="22"/>
              </w:rPr>
              <w:t>5.123,32</w:t>
            </w:r>
          </w:p>
        </w:tc>
        <w:tc>
          <w:tcPr>
            <w:tcW w:w="1291" w:type="dxa"/>
            <w:tcBorders>
              <w:top w:val="nil"/>
              <w:left w:val="nil"/>
              <w:bottom w:val="single" w:sz="4" w:space="0" w:color="auto"/>
              <w:right w:val="nil"/>
            </w:tcBorders>
            <w:shd w:val="clear" w:color="auto" w:fill="auto"/>
            <w:noWrap/>
            <w:vAlign w:val="center"/>
          </w:tcPr>
          <w:p w:rsidR="00BD1632" w:rsidRDefault="00BD1632" w:rsidP="00BD1632">
            <w:pPr>
              <w:jc w:val="center"/>
              <w:rPr>
                <w:rFonts w:ascii="Calibri" w:hAnsi="Calibri"/>
                <w:color w:val="000000"/>
                <w:sz w:val="22"/>
              </w:rPr>
            </w:pPr>
            <w:r>
              <w:rPr>
                <w:rFonts w:ascii="Calibri" w:hAnsi="Calibri"/>
                <w:color w:val="000000"/>
                <w:sz w:val="22"/>
              </w:rPr>
              <w:t>39.538,66</w:t>
            </w:r>
          </w:p>
        </w:tc>
        <w:tc>
          <w:tcPr>
            <w:tcW w:w="1373" w:type="dxa"/>
            <w:tcBorders>
              <w:top w:val="nil"/>
              <w:left w:val="nil"/>
              <w:bottom w:val="single" w:sz="4" w:space="0" w:color="auto"/>
              <w:right w:val="nil"/>
            </w:tcBorders>
            <w:shd w:val="clear" w:color="auto" w:fill="auto"/>
            <w:noWrap/>
            <w:vAlign w:val="center"/>
          </w:tcPr>
          <w:p w:rsidR="00BD1632" w:rsidRDefault="00BD1632" w:rsidP="00BD1632">
            <w:pPr>
              <w:jc w:val="center"/>
              <w:rPr>
                <w:rFonts w:ascii="Calibri" w:hAnsi="Calibri"/>
                <w:color w:val="000000"/>
                <w:sz w:val="22"/>
              </w:rPr>
            </w:pPr>
            <w:r>
              <w:rPr>
                <w:rFonts w:ascii="Calibri" w:hAnsi="Calibri"/>
                <w:color w:val="000000"/>
                <w:sz w:val="22"/>
              </w:rPr>
              <w:t>629,61</w:t>
            </w:r>
          </w:p>
        </w:tc>
        <w:tc>
          <w:tcPr>
            <w:tcW w:w="1394" w:type="dxa"/>
            <w:tcBorders>
              <w:top w:val="nil"/>
              <w:left w:val="nil"/>
              <w:bottom w:val="single" w:sz="4" w:space="0" w:color="auto"/>
              <w:right w:val="nil"/>
            </w:tcBorders>
            <w:shd w:val="clear" w:color="auto" w:fill="auto"/>
            <w:noWrap/>
            <w:vAlign w:val="center"/>
          </w:tcPr>
          <w:p w:rsidR="00BD1632" w:rsidRDefault="00BD1632" w:rsidP="00BD1632">
            <w:pPr>
              <w:jc w:val="center"/>
              <w:rPr>
                <w:rFonts w:ascii="Calibri" w:hAnsi="Calibri"/>
                <w:color w:val="000000"/>
                <w:sz w:val="22"/>
              </w:rPr>
            </w:pPr>
            <w:r>
              <w:rPr>
                <w:rFonts w:ascii="Calibri" w:hAnsi="Calibri"/>
                <w:color w:val="000000"/>
                <w:sz w:val="22"/>
              </w:rPr>
              <w:t>692,50</w:t>
            </w:r>
          </w:p>
        </w:tc>
      </w:tr>
      <w:tr w:rsidR="00BD1632" w:rsidRPr="008328EC" w:rsidTr="006B3ECB">
        <w:trPr>
          <w:trHeight w:val="300"/>
        </w:trPr>
        <w:tc>
          <w:tcPr>
            <w:tcW w:w="529" w:type="dxa"/>
            <w:tcBorders>
              <w:top w:val="nil"/>
              <w:left w:val="nil"/>
              <w:bottom w:val="single" w:sz="4" w:space="0" w:color="auto"/>
              <w:right w:val="nil"/>
            </w:tcBorders>
            <w:shd w:val="clear" w:color="auto" w:fill="auto"/>
            <w:noWrap/>
            <w:vAlign w:val="center"/>
          </w:tcPr>
          <w:p w:rsidR="00BD1632" w:rsidRDefault="00BD1632" w:rsidP="00BD1632">
            <w:pPr>
              <w:jc w:val="center"/>
              <w:rPr>
                <w:rFonts w:ascii="Calibri" w:hAnsi="Calibri"/>
                <w:color w:val="000000"/>
                <w:sz w:val="22"/>
              </w:rPr>
            </w:pPr>
            <w:r>
              <w:rPr>
                <w:rFonts w:ascii="Calibri" w:hAnsi="Calibri"/>
                <w:color w:val="000000"/>
                <w:sz w:val="22"/>
              </w:rPr>
              <w:t>17</w:t>
            </w:r>
          </w:p>
        </w:tc>
        <w:tc>
          <w:tcPr>
            <w:tcW w:w="1096" w:type="dxa"/>
            <w:tcBorders>
              <w:top w:val="nil"/>
              <w:left w:val="nil"/>
              <w:bottom w:val="single" w:sz="4" w:space="0" w:color="auto"/>
              <w:right w:val="nil"/>
            </w:tcBorders>
            <w:shd w:val="clear" w:color="auto" w:fill="auto"/>
            <w:noWrap/>
            <w:vAlign w:val="center"/>
          </w:tcPr>
          <w:p w:rsidR="00BD1632" w:rsidRDefault="00BD1632" w:rsidP="00BD1632">
            <w:pPr>
              <w:jc w:val="center"/>
              <w:rPr>
                <w:rFonts w:ascii="Calibri" w:hAnsi="Calibri"/>
                <w:color w:val="000000"/>
                <w:sz w:val="22"/>
              </w:rPr>
            </w:pPr>
            <w:r>
              <w:rPr>
                <w:rFonts w:ascii="Calibri" w:hAnsi="Calibri"/>
                <w:color w:val="000000"/>
                <w:sz w:val="22"/>
              </w:rPr>
              <w:t>6.221,85</w:t>
            </w:r>
          </w:p>
        </w:tc>
        <w:tc>
          <w:tcPr>
            <w:tcW w:w="1174" w:type="dxa"/>
            <w:gridSpan w:val="2"/>
            <w:tcBorders>
              <w:top w:val="nil"/>
              <w:left w:val="nil"/>
              <w:bottom w:val="single" w:sz="4" w:space="0" w:color="auto"/>
              <w:right w:val="nil"/>
            </w:tcBorders>
            <w:shd w:val="clear" w:color="auto" w:fill="auto"/>
            <w:noWrap/>
            <w:vAlign w:val="center"/>
          </w:tcPr>
          <w:p w:rsidR="00BD1632" w:rsidRDefault="00BD1632" w:rsidP="00BD1632">
            <w:pPr>
              <w:jc w:val="center"/>
              <w:rPr>
                <w:rFonts w:ascii="Calibri" w:hAnsi="Calibri"/>
                <w:color w:val="000000"/>
                <w:sz w:val="22"/>
              </w:rPr>
            </w:pPr>
            <w:r>
              <w:rPr>
                <w:rFonts w:ascii="Calibri" w:hAnsi="Calibri"/>
                <w:color w:val="000000"/>
                <w:sz w:val="22"/>
              </w:rPr>
              <w:t>371,81</w:t>
            </w:r>
          </w:p>
        </w:tc>
        <w:tc>
          <w:tcPr>
            <w:tcW w:w="1307" w:type="dxa"/>
            <w:gridSpan w:val="2"/>
            <w:tcBorders>
              <w:top w:val="nil"/>
              <w:left w:val="nil"/>
              <w:bottom w:val="single" w:sz="4" w:space="0" w:color="auto"/>
              <w:right w:val="nil"/>
            </w:tcBorders>
            <w:shd w:val="clear" w:color="auto" w:fill="auto"/>
            <w:noWrap/>
            <w:vAlign w:val="center"/>
          </w:tcPr>
          <w:p w:rsidR="00BD1632" w:rsidRDefault="00BD1632" w:rsidP="00BD1632">
            <w:pPr>
              <w:jc w:val="center"/>
              <w:rPr>
                <w:rFonts w:ascii="Calibri" w:hAnsi="Calibri"/>
                <w:color w:val="000000"/>
                <w:sz w:val="22"/>
              </w:rPr>
            </w:pPr>
            <w:r>
              <w:rPr>
                <w:rFonts w:ascii="Calibri" w:hAnsi="Calibri"/>
                <w:color w:val="000000"/>
                <w:sz w:val="22"/>
              </w:rPr>
              <w:t>486,76</w:t>
            </w:r>
          </w:p>
        </w:tc>
        <w:tc>
          <w:tcPr>
            <w:tcW w:w="1168" w:type="dxa"/>
            <w:tcBorders>
              <w:top w:val="nil"/>
              <w:left w:val="nil"/>
              <w:bottom w:val="single" w:sz="4" w:space="0" w:color="auto"/>
              <w:right w:val="nil"/>
            </w:tcBorders>
            <w:shd w:val="clear" w:color="auto" w:fill="auto"/>
            <w:noWrap/>
            <w:vAlign w:val="center"/>
          </w:tcPr>
          <w:p w:rsidR="00BD1632" w:rsidRDefault="00BD1632" w:rsidP="00BD1632">
            <w:pPr>
              <w:jc w:val="center"/>
              <w:rPr>
                <w:rFonts w:ascii="Calibri" w:hAnsi="Calibri"/>
                <w:color w:val="000000"/>
                <w:sz w:val="22"/>
              </w:rPr>
            </w:pPr>
            <w:r>
              <w:rPr>
                <w:rFonts w:ascii="Calibri" w:hAnsi="Calibri"/>
                <w:color w:val="000000"/>
                <w:sz w:val="22"/>
              </w:rPr>
              <w:t>5.363,28</w:t>
            </w:r>
          </w:p>
        </w:tc>
        <w:tc>
          <w:tcPr>
            <w:tcW w:w="1291" w:type="dxa"/>
            <w:tcBorders>
              <w:top w:val="nil"/>
              <w:left w:val="nil"/>
              <w:bottom w:val="single" w:sz="4" w:space="0" w:color="auto"/>
              <w:right w:val="nil"/>
            </w:tcBorders>
            <w:shd w:val="clear" w:color="auto" w:fill="auto"/>
            <w:noWrap/>
            <w:vAlign w:val="center"/>
          </w:tcPr>
          <w:p w:rsidR="00BD1632" w:rsidRDefault="00BD1632" w:rsidP="00BD1632">
            <w:pPr>
              <w:jc w:val="center"/>
              <w:rPr>
                <w:rFonts w:ascii="Calibri" w:hAnsi="Calibri"/>
                <w:color w:val="000000"/>
                <w:sz w:val="22"/>
              </w:rPr>
            </w:pPr>
            <w:r>
              <w:rPr>
                <w:rFonts w:ascii="Calibri" w:hAnsi="Calibri"/>
                <w:color w:val="000000"/>
                <w:sz w:val="22"/>
              </w:rPr>
              <w:t>44.901,93</w:t>
            </w:r>
          </w:p>
        </w:tc>
        <w:tc>
          <w:tcPr>
            <w:tcW w:w="1373" w:type="dxa"/>
            <w:tcBorders>
              <w:top w:val="nil"/>
              <w:left w:val="nil"/>
              <w:bottom w:val="single" w:sz="4" w:space="0" w:color="auto"/>
              <w:right w:val="nil"/>
            </w:tcBorders>
            <w:shd w:val="clear" w:color="auto" w:fill="auto"/>
            <w:noWrap/>
            <w:vAlign w:val="center"/>
          </w:tcPr>
          <w:p w:rsidR="00BD1632" w:rsidRDefault="00BD1632" w:rsidP="00BD1632">
            <w:pPr>
              <w:jc w:val="center"/>
              <w:rPr>
                <w:rFonts w:ascii="Calibri" w:hAnsi="Calibri"/>
                <w:color w:val="000000"/>
                <w:sz w:val="22"/>
              </w:rPr>
            </w:pPr>
            <w:r>
              <w:rPr>
                <w:rFonts w:ascii="Calibri" w:hAnsi="Calibri"/>
                <w:color w:val="000000"/>
                <w:sz w:val="22"/>
              </w:rPr>
              <w:t>578,16</w:t>
            </w:r>
          </w:p>
        </w:tc>
        <w:tc>
          <w:tcPr>
            <w:tcW w:w="1394" w:type="dxa"/>
            <w:tcBorders>
              <w:top w:val="nil"/>
              <w:left w:val="nil"/>
              <w:bottom w:val="single" w:sz="4" w:space="0" w:color="auto"/>
              <w:right w:val="nil"/>
            </w:tcBorders>
            <w:shd w:val="clear" w:color="auto" w:fill="auto"/>
            <w:noWrap/>
            <w:vAlign w:val="center"/>
          </w:tcPr>
          <w:p w:rsidR="00BD1632" w:rsidRDefault="00BD1632" w:rsidP="00BD1632">
            <w:pPr>
              <w:jc w:val="center"/>
              <w:rPr>
                <w:rFonts w:ascii="Calibri" w:hAnsi="Calibri"/>
                <w:color w:val="000000"/>
                <w:sz w:val="22"/>
              </w:rPr>
            </w:pPr>
            <w:r>
              <w:rPr>
                <w:rFonts w:ascii="Calibri" w:hAnsi="Calibri"/>
                <w:color w:val="000000"/>
                <w:sz w:val="22"/>
              </w:rPr>
              <w:t>1.270,66</w:t>
            </w:r>
          </w:p>
        </w:tc>
      </w:tr>
      <w:tr w:rsidR="00BD1632" w:rsidRPr="008328EC" w:rsidTr="006B3ECB">
        <w:trPr>
          <w:trHeight w:val="300"/>
        </w:trPr>
        <w:tc>
          <w:tcPr>
            <w:tcW w:w="529"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18</w:t>
            </w:r>
          </w:p>
        </w:tc>
        <w:tc>
          <w:tcPr>
            <w:tcW w:w="1096"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6.520,50</w:t>
            </w:r>
          </w:p>
        </w:tc>
        <w:tc>
          <w:tcPr>
            <w:tcW w:w="1174" w:type="dxa"/>
            <w:gridSpan w:val="2"/>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391,33</w:t>
            </w:r>
          </w:p>
        </w:tc>
        <w:tc>
          <w:tcPr>
            <w:tcW w:w="1307" w:type="dxa"/>
            <w:gridSpan w:val="2"/>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514,75</w:t>
            </w:r>
          </w:p>
        </w:tc>
        <w:tc>
          <w:tcPr>
            <w:tcW w:w="1168"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5.614,42</w:t>
            </w:r>
          </w:p>
        </w:tc>
        <w:tc>
          <w:tcPr>
            <w:tcW w:w="1291"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50.516,35</w:t>
            </w:r>
          </w:p>
        </w:tc>
        <w:tc>
          <w:tcPr>
            <w:tcW w:w="1373"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530,91</w:t>
            </w:r>
          </w:p>
        </w:tc>
        <w:tc>
          <w:tcPr>
            <w:tcW w:w="1394"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1.801,56</w:t>
            </w:r>
          </w:p>
        </w:tc>
      </w:tr>
      <w:tr w:rsidR="00BD1632" w:rsidRPr="008328EC" w:rsidTr="006B3ECB">
        <w:trPr>
          <w:trHeight w:val="300"/>
        </w:trPr>
        <w:tc>
          <w:tcPr>
            <w:tcW w:w="529"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19</w:t>
            </w:r>
          </w:p>
        </w:tc>
        <w:tc>
          <w:tcPr>
            <w:tcW w:w="1096"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6.833,48</w:t>
            </w:r>
          </w:p>
        </w:tc>
        <w:tc>
          <w:tcPr>
            <w:tcW w:w="1174" w:type="dxa"/>
            <w:gridSpan w:val="2"/>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411,88</w:t>
            </w:r>
          </w:p>
        </w:tc>
        <w:tc>
          <w:tcPr>
            <w:tcW w:w="1307" w:type="dxa"/>
            <w:gridSpan w:val="2"/>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544,35</w:t>
            </w:r>
          </w:p>
        </w:tc>
        <w:tc>
          <w:tcPr>
            <w:tcW w:w="1168"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5.877,26</w:t>
            </w:r>
          </w:p>
        </w:tc>
        <w:tc>
          <w:tcPr>
            <w:tcW w:w="1291"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56.393,60</w:t>
            </w:r>
          </w:p>
        </w:tc>
        <w:tc>
          <w:tcPr>
            <w:tcW w:w="1373"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487,51</w:t>
            </w:r>
          </w:p>
        </w:tc>
        <w:tc>
          <w:tcPr>
            <w:tcW w:w="1394"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2.289,07</w:t>
            </w:r>
          </w:p>
        </w:tc>
      </w:tr>
      <w:tr w:rsidR="00BD1632" w:rsidRPr="008328EC" w:rsidTr="006B3ECB">
        <w:trPr>
          <w:trHeight w:val="300"/>
        </w:trPr>
        <w:tc>
          <w:tcPr>
            <w:tcW w:w="529"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20</w:t>
            </w:r>
          </w:p>
        </w:tc>
        <w:tc>
          <w:tcPr>
            <w:tcW w:w="1096"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7.161,49</w:t>
            </w:r>
          </w:p>
        </w:tc>
        <w:tc>
          <w:tcPr>
            <w:tcW w:w="1174" w:type="dxa"/>
            <w:gridSpan w:val="2"/>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433,50</w:t>
            </w:r>
          </w:p>
        </w:tc>
        <w:tc>
          <w:tcPr>
            <w:tcW w:w="1307" w:type="dxa"/>
            <w:gridSpan w:val="2"/>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575,65</w:t>
            </w:r>
          </w:p>
        </w:tc>
        <w:tc>
          <w:tcPr>
            <w:tcW w:w="1168"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6.152,34</w:t>
            </w:r>
          </w:p>
        </w:tc>
        <w:tc>
          <w:tcPr>
            <w:tcW w:w="1291"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62.545,94</w:t>
            </w:r>
          </w:p>
        </w:tc>
        <w:tc>
          <w:tcPr>
            <w:tcW w:w="1373"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447,65</w:t>
            </w:r>
          </w:p>
        </w:tc>
        <w:tc>
          <w:tcPr>
            <w:tcW w:w="1394" w:type="dxa"/>
            <w:tcBorders>
              <w:top w:val="nil"/>
              <w:left w:val="nil"/>
              <w:bottom w:val="single" w:sz="4" w:space="0" w:color="auto"/>
              <w:right w:val="nil"/>
            </w:tcBorders>
            <w:shd w:val="clear" w:color="auto" w:fill="auto"/>
            <w:noWrap/>
            <w:vAlign w:val="center"/>
            <w:hideMark/>
          </w:tcPr>
          <w:p w:rsidR="00BD1632" w:rsidRDefault="00BD1632" w:rsidP="00BD1632">
            <w:pPr>
              <w:jc w:val="center"/>
              <w:rPr>
                <w:rFonts w:ascii="Calibri" w:hAnsi="Calibri"/>
                <w:color w:val="000000"/>
                <w:sz w:val="22"/>
              </w:rPr>
            </w:pPr>
            <w:r>
              <w:rPr>
                <w:rFonts w:ascii="Calibri" w:hAnsi="Calibri"/>
                <w:color w:val="000000"/>
                <w:sz w:val="22"/>
              </w:rPr>
              <w:t>2.736,73</w:t>
            </w:r>
          </w:p>
        </w:tc>
      </w:tr>
      <w:tr w:rsidR="00BD1632" w:rsidRPr="00BD1632" w:rsidTr="006B3ECB">
        <w:trPr>
          <w:trHeight w:val="499"/>
        </w:trPr>
        <w:tc>
          <w:tcPr>
            <w:tcW w:w="2078" w:type="dxa"/>
            <w:gridSpan w:val="3"/>
            <w:tcBorders>
              <w:top w:val="nil"/>
              <w:left w:val="nil"/>
              <w:bottom w:val="single" w:sz="4" w:space="0" w:color="auto"/>
              <w:right w:val="nil"/>
            </w:tcBorders>
            <w:shd w:val="clear" w:color="auto" w:fill="auto"/>
            <w:vAlign w:val="center"/>
            <w:hideMark/>
          </w:tcPr>
          <w:p w:rsidR="00BD1632" w:rsidRPr="00BD1632" w:rsidRDefault="00BD1632" w:rsidP="006B3ECB">
            <w:pPr>
              <w:spacing w:after="0" w:line="240" w:lineRule="auto"/>
              <w:contextualSpacing w:val="0"/>
              <w:jc w:val="center"/>
              <w:rPr>
                <w:rFonts w:eastAsia="Times New Roman" w:cs="Arial"/>
                <w:b/>
                <w:i/>
                <w:color w:val="000000"/>
                <w:lang w:eastAsia="pt-BR"/>
              </w:rPr>
            </w:pPr>
            <w:r w:rsidRPr="00BD1632">
              <w:rPr>
                <w:rFonts w:eastAsia="Times New Roman" w:cs="Arial"/>
                <w:b/>
                <w:i/>
                <w:color w:val="000000"/>
                <w:lang w:eastAsia="pt-BR"/>
              </w:rPr>
              <w:t>V</w:t>
            </w:r>
            <w:r w:rsidRPr="008328EC">
              <w:rPr>
                <w:rFonts w:eastAsia="Times New Roman" w:cs="Arial"/>
                <w:b/>
                <w:i/>
                <w:color w:val="000000"/>
                <w:lang w:eastAsia="pt-BR"/>
              </w:rPr>
              <w:t>PL</w:t>
            </w:r>
          </w:p>
        </w:tc>
        <w:tc>
          <w:tcPr>
            <w:tcW w:w="1598" w:type="dxa"/>
            <w:gridSpan w:val="2"/>
            <w:tcBorders>
              <w:top w:val="nil"/>
              <w:left w:val="nil"/>
              <w:bottom w:val="single" w:sz="4" w:space="0" w:color="auto"/>
              <w:right w:val="nil"/>
            </w:tcBorders>
            <w:shd w:val="clear" w:color="auto" w:fill="auto"/>
            <w:vAlign w:val="center"/>
          </w:tcPr>
          <w:p w:rsidR="00BD1632" w:rsidRPr="00BD1632" w:rsidRDefault="00BD1632" w:rsidP="006B3ECB">
            <w:pPr>
              <w:spacing w:after="0" w:line="240" w:lineRule="auto"/>
              <w:contextualSpacing w:val="0"/>
              <w:jc w:val="center"/>
              <w:rPr>
                <w:rFonts w:eastAsia="Times New Roman" w:cs="Arial"/>
                <w:b/>
                <w:i/>
                <w:color w:val="000000"/>
                <w:lang w:eastAsia="pt-BR"/>
              </w:rPr>
            </w:pPr>
            <w:r w:rsidRPr="008328EC">
              <w:rPr>
                <w:rFonts w:eastAsia="Times New Roman" w:cs="Arial"/>
                <w:b/>
                <w:i/>
                <w:color w:val="000000"/>
                <w:lang w:eastAsia="pt-BR"/>
              </w:rPr>
              <w:t xml:space="preserve">R$ </w:t>
            </w:r>
            <w:r w:rsidR="006B3ECB">
              <w:rPr>
                <w:rFonts w:eastAsia="Times New Roman" w:cs="Arial"/>
                <w:b/>
                <w:i/>
                <w:color w:val="000000"/>
                <w:lang w:eastAsia="pt-BR"/>
              </w:rPr>
              <w:t>2.400</w:t>
            </w:r>
            <w:r w:rsidRPr="008328EC">
              <w:rPr>
                <w:rFonts w:eastAsia="Times New Roman" w:cs="Arial"/>
                <w:b/>
                <w:i/>
                <w:color w:val="000000"/>
                <w:lang w:eastAsia="pt-BR"/>
              </w:rPr>
              <w:t>,</w:t>
            </w:r>
            <w:r w:rsidR="006B3ECB">
              <w:rPr>
                <w:rFonts w:eastAsia="Times New Roman" w:cs="Arial"/>
                <w:b/>
                <w:i/>
                <w:color w:val="000000"/>
                <w:lang w:eastAsia="pt-BR"/>
              </w:rPr>
              <w:t>64</w:t>
            </w:r>
          </w:p>
        </w:tc>
        <w:tc>
          <w:tcPr>
            <w:tcW w:w="2889" w:type="dxa"/>
            <w:gridSpan w:val="3"/>
            <w:tcBorders>
              <w:top w:val="nil"/>
              <w:left w:val="nil"/>
              <w:bottom w:val="single" w:sz="4" w:space="0" w:color="auto"/>
              <w:right w:val="nil"/>
            </w:tcBorders>
            <w:shd w:val="clear" w:color="auto" w:fill="auto"/>
            <w:vAlign w:val="center"/>
          </w:tcPr>
          <w:p w:rsidR="00BD1632" w:rsidRPr="008328EC" w:rsidRDefault="00BD1632" w:rsidP="006B3ECB">
            <w:pPr>
              <w:spacing w:after="0" w:line="240" w:lineRule="auto"/>
              <w:contextualSpacing w:val="0"/>
              <w:jc w:val="center"/>
              <w:rPr>
                <w:rFonts w:eastAsia="Times New Roman" w:cs="Arial"/>
                <w:b/>
                <w:i/>
                <w:color w:val="000000"/>
                <w:lang w:eastAsia="pt-BR"/>
              </w:rPr>
            </w:pPr>
            <w:r w:rsidRPr="008328EC">
              <w:rPr>
                <w:rFonts w:eastAsia="Times New Roman" w:cs="Arial"/>
                <w:b/>
                <w:i/>
                <w:color w:val="000000"/>
                <w:lang w:eastAsia="pt-BR"/>
              </w:rPr>
              <w:t>Payback Simples</w:t>
            </w:r>
          </w:p>
        </w:tc>
        <w:tc>
          <w:tcPr>
            <w:tcW w:w="1373" w:type="dxa"/>
            <w:tcBorders>
              <w:top w:val="nil"/>
              <w:left w:val="nil"/>
              <w:bottom w:val="single" w:sz="4" w:space="0" w:color="auto"/>
              <w:right w:val="nil"/>
            </w:tcBorders>
            <w:shd w:val="clear" w:color="auto" w:fill="auto"/>
            <w:noWrap/>
            <w:vAlign w:val="center"/>
            <w:hideMark/>
          </w:tcPr>
          <w:p w:rsidR="00BD1632" w:rsidRPr="008328EC" w:rsidRDefault="00BD1632" w:rsidP="006B3ECB">
            <w:pPr>
              <w:spacing w:after="0" w:line="240" w:lineRule="auto"/>
              <w:contextualSpacing w:val="0"/>
              <w:jc w:val="center"/>
              <w:rPr>
                <w:rFonts w:eastAsia="Times New Roman" w:cs="Arial"/>
                <w:b/>
                <w:i/>
                <w:color w:val="000000"/>
                <w:lang w:eastAsia="pt-BR"/>
              </w:rPr>
            </w:pPr>
            <w:r w:rsidRPr="008328EC">
              <w:rPr>
                <w:rFonts w:eastAsia="Times New Roman" w:cs="Arial"/>
                <w:b/>
                <w:i/>
                <w:color w:val="000000"/>
                <w:lang w:eastAsia="pt-BR"/>
              </w:rPr>
              <w:t>6 anos</w:t>
            </w:r>
          </w:p>
        </w:tc>
        <w:tc>
          <w:tcPr>
            <w:tcW w:w="1394" w:type="dxa"/>
            <w:tcBorders>
              <w:top w:val="nil"/>
              <w:left w:val="nil"/>
              <w:bottom w:val="single" w:sz="4" w:space="0" w:color="auto"/>
              <w:right w:val="nil"/>
            </w:tcBorders>
            <w:shd w:val="clear" w:color="auto" w:fill="auto"/>
            <w:noWrap/>
            <w:vAlign w:val="center"/>
            <w:hideMark/>
          </w:tcPr>
          <w:p w:rsidR="00BD1632" w:rsidRPr="008328EC" w:rsidRDefault="006B3ECB" w:rsidP="006B3ECB">
            <w:pPr>
              <w:spacing w:after="0" w:line="240" w:lineRule="auto"/>
              <w:contextualSpacing w:val="0"/>
              <w:jc w:val="center"/>
              <w:rPr>
                <w:rFonts w:eastAsia="Times New Roman" w:cs="Arial"/>
                <w:b/>
                <w:i/>
                <w:color w:val="000000"/>
                <w:lang w:eastAsia="pt-BR"/>
              </w:rPr>
            </w:pPr>
            <w:r>
              <w:rPr>
                <w:rFonts w:eastAsia="Times New Roman" w:cs="Arial"/>
                <w:b/>
                <w:i/>
                <w:color w:val="000000"/>
                <w:lang w:eastAsia="pt-BR"/>
              </w:rPr>
              <w:t>9</w:t>
            </w:r>
            <w:r w:rsidR="00BD1632" w:rsidRPr="008328EC">
              <w:rPr>
                <w:rFonts w:eastAsia="Times New Roman" w:cs="Arial"/>
                <w:b/>
                <w:i/>
                <w:color w:val="000000"/>
                <w:lang w:eastAsia="pt-BR"/>
              </w:rPr>
              <w:t xml:space="preserve"> meses</w:t>
            </w:r>
          </w:p>
        </w:tc>
      </w:tr>
      <w:tr w:rsidR="00BD1632" w:rsidRPr="00BD1632" w:rsidTr="006B3ECB">
        <w:trPr>
          <w:trHeight w:val="421"/>
        </w:trPr>
        <w:tc>
          <w:tcPr>
            <w:tcW w:w="2078" w:type="dxa"/>
            <w:gridSpan w:val="3"/>
            <w:tcBorders>
              <w:top w:val="single" w:sz="4" w:space="0" w:color="auto"/>
              <w:left w:val="nil"/>
              <w:bottom w:val="single" w:sz="4" w:space="0" w:color="auto"/>
              <w:right w:val="nil"/>
            </w:tcBorders>
            <w:shd w:val="clear" w:color="auto" w:fill="auto"/>
            <w:vAlign w:val="center"/>
            <w:hideMark/>
          </w:tcPr>
          <w:p w:rsidR="00BD1632" w:rsidRPr="00BD1632" w:rsidRDefault="00BD1632" w:rsidP="006B3ECB">
            <w:pPr>
              <w:spacing w:after="0" w:line="240" w:lineRule="auto"/>
              <w:contextualSpacing w:val="0"/>
              <w:jc w:val="center"/>
              <w:rPr>
                <w:rFonts w:eastAsia="Times New Roman" w:cs="Arial"/>
                <w:b/>
                <w:i/>
                <w:color w:val="000000"/>
                <w:lang w:eastAsia="pt-BR"/>
              </w:rPr>
            </w:pPr>
            <w:r w:rsidRPr="008328EC">
              <w:rPr>
                <w:rFonts w:eastAsia="Times New Roman" w:cs="Arial"/>
                <w:b/>
                <w:i/>
                <w:color w:val="000000"/>
                <w:lang w:eastAsia="pt-BR"/>
              </w:rPr>
              <w:t>TIR</w:t>
            </w:r>
          </w:p>
        </w:tc>
        <w:tc>
          <w:tcPr>
            <w:tcW w:w="1598" w:type="dxa"/>
            <w:gridSpan w:val="2"/>
            <w:tcBorders>
              <w:top w:val="single" w:sz="4" w:space="0" w:color="auto"/>
              <w:left w:val="nil"/>
              <w:bottom w:val="single" w:sz="4" w:space="0" w:color="auto"/>
              <w:right w:val="nil"/>
            </w:tcBorders>
            <w:shd w:val="clear" w:color="auto" w:fill="auto"/>
            <w:vAlign w:val="center"/>
          </w:tcPr>
          <w:p w:rsidR="00BD1632" w:rsidRPr="00BD1632" w:rsidRDefault="00BD1632" w:rsidP="006B3ECB">
            <w:pPr>
              <w:spacing w:after="0" w:line="240" w:lineRule="auto"/>
              <w:contextualSpacing w:val="0"/>
              <w:jc w:val="center"/>
              <w:rPr>
                <w:rFonts w:eastAsia="Times New Roman" w:cs="Arial"/>
                <w:b/>
                <w:i/>
                <w:color w:val="000000"/>
                <w:lang w:eastAsia="pt-BR"/>
              </w:rPr>
            </w:pPr>
            <w:r w:rsidRPr="008328EC">
              <w:rPr>
                <w:rFonts w:eastAsia="Times New Roman" w:cs="Arial"/>
                <w:b/>
                <w:i/>
                <w:color w:val="000000"/>
                <w:lang w:eastAsia="pt-BR"/>
              </w:rPr>
              <w:t>1</w:t>
            </w:r>
            <w:r w:rsidR="006B3ECB">
              <w:rPr>
                <w:rFonts w:eastAsia="Times New Roman" w:cs="Arial"/>
                <w:b/>
                <w:i/>
                <w:color w:val="000000"/>
                <w:lang w:eastAsia="pt-BR"/>
              </w:rPr>
              <w:t>5</w:t>
            </w:r>
            <w:r w:rsidRPr="008328EC">
              <w:rPr>
                <w:rFonts w:eastAsia="Times New Roman" w:cs="Arial"/>
                <w:b/>
                <w:i/>
                <w:color w:val="000000"/>
                <w:lang w:eastAsia="pt-BR"/>
              </w:rPr>
              <w:t>,</w:t>
            </w:r>
            <w:r w:rsidR="006B3ECB">
              <w:rPr>
                <w:rFonts w:eastAsia="Times New Roman" w:cs="Arial"/>
                <w:b/>
                <w:i/>
                <w:color w:val="000000"/>
                <w:lang w:eastAsia="pt-BR"/>
              </w:rPr>
              <w:t>96</w:t>
            </w:r>
            <w:r w:rsidRPr="008328EC">
              <w:rPr>
                <w:rFonts w:eastAsia="Times New Roman" w:cs="Arial"/>
                <w:b/>
                <w:i/>
                <w:color w:val="000000"/>
                <w:lang w:eastAsia="pt-BR"/>
              </w:rPr>
              <w:t>%</w:t>
            </w:r>
          </w:p>
        </w:tc>
        <w:tc>
          <w:tcPr>
            <w:tcW w:w="2889" w:type="dxa"/>
            <w:gridSpan w:val="3"/>
            <w:tcBorders>
              <w:top w:val="single" w:sz="4" w:space="0" w:color="auto"/>
              <w:left w:val="nil"/>
              <w:bottom w:val="single" w:sz="4" w:space="0" w:color="auto"/>
              <w:right w:val="nil"/>
            </w:tcBorders>
            <w:shd w:val="clear" w:color="auto" w:fill="auto"/>
            <w:vAlign w:val="center"/>
          </w:tcPr>
          <w:p w:rsidR="00BD1632" w:rsidRPr="008328EC" w:rsidRDefault="00BD1632" w:rsidP="006B3ECB">
            <w:pPr>
              <w:spacing w:after="0" w:line="240" w:lineRule="auto"/>
              <w:contextualSpacing w:val="0"/>
              <w:jc w:val="center"/>
              <w:rPr>
                <w:rFonts w:eastAsia="Times New Roman" w:cs="Arial"/>
                <w:b/>
                <w:i/>
                <w:color w:val="000000"/>
                <w:lang w:eastAsia="pt-BR"/>
              </w:rPr>
            </w:pPr>
            <w:r>
              <w:rPr>
                <w:rFonts w:eastAsia="Times New Roman" w:cs="Arial"/>
                <w:b/>
                <w:i/>
                <w:color w:val="000000"/>
                <w:lang w:eastAsia="pt-BR"/>
              </w:rPr>
              <w:t>Payback Descontado</w:t>
            </w:r>
          </w:p>
        </w:tc>
        <w:tc>
          <w:tcPr>
            <w:tcW w:w="1373" w:type="dxa"/>
            <w:tcBorders>
              <w:top w:val="single" w:sz="4" w:space="0" w:color="auto"/>
              <w:left w:val="nil"/>
              <w:bottom w:val="single" w:sz="4" w:space="0" w:color="auto"/>
              <w:right w:val="nil"/>
            </w:tcBorders>
            <w:shd w:val="clear" w:color="auto" w:fill="auto"/>
            <w:noWrap/>
            <w:vAlign w:val="center"/>
            <w:hideMark/>
          </w:tcPr>
          <w:p w:rsidR="00BD1632" w:rsidRPr="008328EC" w:rsidRDefault="00BD1632" w:rsidP="006B3ECB">
            <w:pPr>
              <w:spacing w:after="0" w:line="240" w:lineRule="auto"/>
              <w:contextualSpacing w:val="0"/>
              <w:jc w:val="center"/>
              <w:rPr>
                <w:rFonts w:eastAsia="Times New Roman" w:cs="Arial"/>
                <w:b/>
                <w:i/>
                <w:color w:val="000000"/>
                <w:lang w:eastAsia="pt-BR"/>
              </w:rPr>
            </w:pPr>
            <w:r w:rsidRPr="008328EC">
              <w:rPr>
                <w:rFonts w:eastAsia="Times New Roman" w:cs="Arial"/>
                <w:b/>
                <w:i/>
                <w:color w:val="000000"/>
                <w:lang w:eastAsia="pt-BR"/>
              </w:rPr>
              <w:t>1</w:t>
            </w:r>
            <w:r w:rsidR="006B3ECB">
              <w:rPr>
                <w:rFonts w:eastAsia="Times New Roman" w:cs="Arial"/>
                <w:b/>
                <w:i/>
                <w:color w:val="000000"/>
                <w:lang w:eastAsia="pt-BR"/>
              </w:rPr>
              <w:t>4</w:t>
            </w:r>
            <w:r w:rsidRPr="008328EC">
              <w:rPr>
                <w:rFonts w:eastAsia="Times New Roman" w:cs="Arial"/>
                <w:b/>
                <w:i/>
                <w:color w:val="000000"/>
                <w:lang w:eastAsia="pt-BR"/>
              </w:rPr>
              <w:t xml:space="preserve"> anos</w:t>
            </w:r>
          </w:p>
        </w:tc>
        <w:tc>
          <w:tcPr>
            <w:tcW w:w="1394" w:type="dxa"/>
            <w:tcBorders>
              <w:top w:val="nil"/>
              <w:left w:val="nil"/>
              <w:bottom w:val="single" w:sz="4" w:space="0" w:color="auto"/>
              <w:right w:val="nil"/>
            </w:tcBorders>
            <w:shd w:val="clear" w:color="auto" w:fill="auto"/>
            <w:noWrap/>
            <w:vAlign w:val="center"/>
            <w:hideMark/>
          </w:tcPr>
          <w:p w:rsidR="00BD1632" w:rsidRPr="008328EC" w:rsidRDefault="006B3ECB" w:rsidP="006B3ECB">
            <w:pPr>
              <w:spacing w:after="0" w:line="240" w:lineRule="auto"/>
              <w:contextualSpacing w:val="0"/>
              <w:jc w:val="center"/>
              <w:rPr>
                <w:rFonts w:eastAsia="Times New Roman" w:cs="Arial"/>
                <w:b/>
                <w:i/>
                <w:color w:val="000000"/>
                <w:lang w:eastAsia="pt-BR"/>
              </w:rPr>
            </w:pPr>
            <w:r>
              <w:rPr>
                <w:rFonts w:eastAsia="Times New Roman" w:cs="Arial"/>
                <w:b/>
                <w:i/>
                <w:color w:val="000000"/>
                <w:lang w:eastAsia="pt-BR"/>
              </w:rPr>
              <w:t>11</w:t>
            </w:r>
            <w:r w:rsidR="00BD1632" w:rsidRPr="008328EC">
              <w:rPr>
                <w:rFonts w:eastAsia="Times New Roman" w:cs="Arial"/>
                <w:b/>
                <w:i/>
                <w:color w:val="000000"/>
                <w:lang w:eastAsia="pt-BR"/>
              </w:rPr>
              <w:t xml:space="preserve"> meses</w:t>
            </w:r>
          </w:p>
        </w:tc>
      </w:tr>
    </w:tbl>
    <w:p w:rsidR="00026000" w:rsidRDefault="00026000" w:rsidP="00A017BA">
      <w:pPr>
        <w:jc w:val="center"/>
      </w:pPr>
      <w:r>
        <w:t>Fonte: Autoria própria</w:t>
      </w:r>
    </w:p>
    <w:p w:rsidR="00BD1632" w:rsidRDefault="00BD1632" w:rsidP="00A017BA">
      <w:pPr>
        <w:jc w:val="center"/>
      </w:pPr>
    </w:p>
    <w:p w:rsidR="00026000" w:rsidRDefault="00026000" w:rsidP="009C4423"/>
    <w:p w:rsidR="00026000" w:rsidRPr="009C4423" w:rsidRDefault="00026000" w:rsidP="009C4423"/>
    <w:p w:rsidR="00457259" w:rsidRPr="009C4423" w:rsidRDefault="006B3ECB" w:rsidP="009C4423">
      <w:r w:rsidRPr="009C4423">
        <w:lastRenderedPageBreak/>
        <w:t xml:space="preserve">Os resultados apresentados </w:t>
      </w:r>
      <w:r w:rsidR="00A85092" w:rsidRPr="009C4423">
        <w:t>nas Tabelas acima indicam viabilidade econômica em todos os cenários. Com base no VPL, percebe-se um valor presente cerca 75% menor no cenário mais rigoroso, porém a taxa interna de retorno varia pouco (</w:t>
      </w:r>
      <w:r w:rsidR="00457259" w:rsidRPr="009C4423">
        <w:t>0,29%), representando uma redução de aproximadamente 1,8%.</w:t>
      </w:r>
    </w:p>
    <w:p w:rsidR="006B3ECB" w:rsidRDefault="00A85092" w:rsidP="009C4423">
      <w:r w:rsidRPr="009C4423">
        <w:t xml:space="preserve">Na análise </w:t>
      </w:r>
      <w:r w:rsidR="00457259" w:rsidRPr="009C4423">
        <w:t xml:space="preserve">de retorno sobre investimento </w:t>
      </w:r>
      <w:r w:rsidRPr="009C4423">
        <w:t xml:space="preserve">mais realista, onde se considera o </w:t>
      </w:r>
      <w:r w:rsidRPr="009C4423">
        <w:rPr>
          <w:i/>
        </w:rPr>
        <w:t>payback</w:t>
      </w:r>
      <w:r w:rsidRPr="009C4423">
        <w:t xml:space="preserve"> descontado, o projeto se paga em 10 anos e 8 meses no cenário padrão e 14 anos e 11 meses no cenário mais exigente, uma diferença de 4 anos e 3 meses. Ainda que considerável a diferença, o projeto traz retorno financeiro em tempo hábil, ou seja, dentro de sua vida útil.</w:t>
      </w:r>
    </w:p>
    <w:p w:rsidR="00E15B63" w:rsidRDefault="00E15B63" w:rsidP="009C4423"/>
    <w:p w:rsidR="00E15B63" w:rsidRPr="009C4423" w:rsidRDefault="00E15B63" w:rsidP="00E15B63">
      <w:pPr>
        <w:pStyle w:val="Nvel2-PG"/>
      </w:pPr>
      <w:bookmarkStart w:id="204" w:name="_Toc488678388"/>
      <w:r>
        <w:t>5.7 Análise de sensibilidade do preço da Goma Guar</w:t>
      </w:r>
      <w:bookmarkEnd w:id="204"/>
    </w:p>
    <w:p w:rsidR="00E15B63" w:rsidRDefault="00457259" w:rsidP="009C4423">
      <w:r w:rsidRPr="009C4423">
        <w:t>Uma última análise de sensibilidade é real</w:t>
      </w:r>
      <w:r w:rsidR="00645EB3" w:rsidRPr="009C4423">
        <w:t>izada a fim de se averiguar qual a variação suportável no preço do polímero para que o sistema continue gerando lucro.</w:t>
      </w:r>
    </w:p>
    <w:p w:rsidR="00E15B63" w:rsidRDefault="00E15B63" w:rsidP="00E15B63">
      <w:r>
        <w:t xml:space="preserve">A maior alta para o preço da Goma Guar já registrada ocorreu no início de 2012, quando empresas norte-americanas de </w:t>
      </w:r>
      <w:r w:rsidRPr="00125FF0">
        <w:t xml:space="preserve">exploração de </w:t>
      </w:r>
      <w:r>
        <w:t xml:space="preserve">gás de xisto começaram a utilizar o aditivo </w:t>
      </w:r>
      <w:r w:rsidRPr="00125FF0">
        <w:t>no processo de fraturamento hidráulico das rochas subterrâneas</w:t>
      </w:r>
      <w:r>
        <w:t xml:space="preserve"> para extração do gás natural </w:t>
      </w:r>
      <w:r w:rsidR="00A0628D">
        <w:t>[49]</w:t>
      </w:r>
      <w:r>
        <w:t xml:space="preserve">. Neste cenário, picos de até US$ 30 </w:t>
      </w:r>
      <w:r w:rsidR="009F7E75">
        <w:t xml:space="preserve">por quilograma </w:t>
      </w:r>
      <w:r>
        <w:t xml:space="preserve">chegaram a ser alcançados em alguns instantes. A </w:t>
      </w:r>
      <w:r>
        <w:fldChar w:fldCharType="begin"/>
      </w:r>
      <w:r>
        <w:instrText xml:space="preserve"> REF _Ref488410735 \h </w:instrText>
      </w:r>
      <w:r>
        <w:fldChar w:fldCharType="separate"/>
      </w:r>
      <w:r w:rsidR="00DB227D">
        <w:t xml:space="preserve">Figura </w:t>
      </w:r>
      <w:r w:rsidR="00DB227D">
        <w:rPr>
          <w:noProof/>
        </w:rPr>
        <w:t>42</w:t>
      </w:r>
      <w:r>
        <w:fldChar w:fldCharType="end"/>
      </w:r>
      <w:r>
        <w:t xml:space="preserve"> expressa o histórico de preços </w:t>
      </w:r>
      <w:r w:rsidR="00165792">
        <w:t xml:space="preserve">(em dólares por libra) </w:t>
      </w:r>
      <w:r>
        <w:t>para a Goma Guar em um período compreendido entre março de 2011 e dezembro de 2014.</w:t>
      </w:r>
    </w:p>
    <w:p w:rsidR="00E15B63" w:rsidRDefault="00E15B63" w:rsidP="00026000">
      <w:pPr>
        <w:pStyle w:val="Figura-PG"/>
      </w:pPr>
      <w:bookmarkStart w:id="205" w:name="_Ref488410735"/>
      <w:bookmarkStart w:id="206" w:name="_Toc488706081"/>
      <w:r>
        <w:t xml:space="preserve">Figura </w:t>
      </w:r>
      <w:fldSimple w:instr=" SEQ Figura \* ARABIC ">
        <w:r w:rsidR="00DB227D">
          <w:rPr>
            <w:noProof/>
          </w:rPr>
          <w:t>42</w:t>
        </w:r>
      </w:fldSimple>
      <w:bookmarkEnd w:id="205"/>
      <w:r>
        <w:t>: Histórico de preços de Goma Guar no mercado de 2011 a 2014</w:t>
      </w:r>
      <w:r>
        <w:rPr>
          <w:noProof/>
        </w:rPr>
        <w:t>. Valores expressos em dólares por libra.</w:t>
      </w:r>
      <w:bookmarkEnd w:id="206"/>
    </w:p>
    <w:p w:rsidR="00E15B63" w:rsidRDefault="00E15B63" w:rsidP="00026000">
      <w:pPr>
        <w:jc w:val="center"/>
      </w:pPr>
      <w:r>
        <w:rPr>
          <w:noProof/>
          <w:lang w:eastAsia="pt-BR"/>
        </w:rPr>
        <w:drawing>
          <wp:inline distT="0" distB="0" distL="0" distR="0" wp14:anchorId="5A3F4A7F" wp14:editId="4919E2FF">
            <wp:extent cx="4200525" cy="2671738"/>
            <wp:effectExtent l="0" t="0" r="0" b="0"/>
            <wp:docPr id="26" name="Imagem 26" descr="http://www.premcemgums.com/wp-content/uploads/2014/12/GDHS-prices-Mar-11-to-Dec-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emcemgums.com/wp-content/uploads/2014/12/GDHS-prices-Mar-11-to-Dec-141.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853" t="1303" r="683" b="3124"/>
                    <a:stretch/>
                  </pic:blipFill>
                  <pic:spPr bwMode="auto">
                    <a:xfrm>
                      <a:off x="0" y="0"/>
                      <a:ext cx="4212930" cy="2679628"/>
                    </a:xfrm>
                    <a:prstGeom prst="rect">
                      <a:avLst/>
                    </a:prstGeom>
                    <a:noFill/>
                    <a:ln>
                      <a:noFill/>
                    </a:ln>
                    <a:extLst>
                      <a:ext uri="{53640926-AAD7-44D8-BBD7-CCE9431645EC}">
                        <a14:shadowObscured xmlns:a14="http://schemas.microsoft.com/office/drawing/2010/main"/>
                      </a:ext>
                    </a:extLst>
                  </pic:spPr>
                </pic:pic>
              </a:graphicData>
            </a:graphic>
          </wp:inline>
        </w:drawing>
      </w:r>
    </w:p>
    <w:p w:rsidR="00E15B63" w:rsidRPr="00E15B63" w:rsidRDefault="00E15B63" w:rsidP="00E15B63">
      <w:pPr>
        <w:jc w:val="center"/>
      </w:pPr>
      <w:r w:rsidRPr="00E15B63">
        <w:t xml:space="preserve">Fonte: </w:t>
      </w:r>
      <w:r w:rsidR="00A72F4C">
        <w:t>(</w:t>
      </w:r>
      <w:r w:rsidR="009F7E75">
        <w:t>Premcem Gums Priva</w:t>
      </w:r>
      <w:r w:rsidRPr="00E15B63">
        <w:t>te limited</w:t>
      </w:r>
      <w:r w:rsidR="00A72F4C">
        <w:t>, 2015)</w:t>
      </w:r>
    </w:p>
    <w:p w:rsidR="00A017BA" w:rsidRDefault="009C4423" w:rsidP="00B57856">
      <w:r w:rsidRPr="009C4423">
        <w:lastRenderedPageBreak/>
        <w:t xml:space="preserve">A </w:t>
      </w:r>
      <w:r w:rsidRPr="009C4423">
        <w:fldChar w:fldCharType="begin"/>
      </w:r>
      <w:r w:rsidRPr="009C4423">
        <w:instrText xml:space="preserve"> REF _Ref488408580 \h  \* MERGEFORMAT </w:instrText>
      </w:r>
      <w:r w:rsidRPr="009C4423">
        <w:fldChar w:fldCharType="separate"/>
      </w:r>
      <w:r w:rsidR="00A017BA">
        <w:t xml:space="preserve">Tabela </w:t>
      </w:r>
      <w:r w:rsidR="00A017BA">
        <w:rPr>
          <w:noProof/>
        </w:rPr>
        <w:t>18</w:t>
      </w:r>
      <w:r w:rsidRPr="009C4423">
        <w:fldChar w:fldCharType="end"/>
      </w:r>
      <w:r>
        <w:t xml:space="preserve"> demonstra análise</w:t>
      </w:r>
      <w:r w:rsidR="00E15B63">
        <w:t xml:space="preserve"> do custo máximo anual com Goma Guar que pode ser tolerado para que o sistema ainda se mantenha economicamente viável.</w:t>
      </w:r>
      <w:bookmarkStart w:id="207" w:name="_Ref488408580"/>
    </w:p>
    <w:p w:rsidR="009C4423" w:rsidRDefault="009C4423" w:rsidP="00A72F4C">
      <w:pPr>
        <w:pStyle w:val="Tabela-PG"/>
      </w:pPr>
      <w:bookmarkStart w:id="208" w:name="_Toc488706099"/>
      <w:r>
        <w:t xml:space="preserve">Tabela </w:t>
      </w:r>
      <w:fldSimple w:instr=" SEQ Tabela \* ARABIC ">
        <w:r w:rsidR="00C91A0F">
          <w:rPr>
            <w:noProof/>
          </w:rPr>
          <w:t>18</w:t>
        </w:r>
      </w:fldSimple>
      <w:bookmarkEnd w:id="207"/>
      <w:r w:rsidR="00A2288C">
        <w:t xml:space="preserve"> -</w:t>
      </w:r>
      <w:r>
        <w:t xml:space="preserve"> Análise de sensibilidade do preço do polímero.</w:t>
      </w:r>
      <w:bookmarkEnd w:id="208"/>
    </w:p>
    <w:tbl>
      <w:tblPr>
        <w:tblW w:w="9332" w:type="dxa"/>
        <w:tblCellMar>
          <w:left w:w="70" w:type="dxa"/>
          <w:right w:w="70" w:type="dxa"/>
        </w:tblCellMar>
        <w:tblLook w:val="04A0" w:firstRow="1" w:lastRow="0" w:firstColumn="1" w:lastColumn="0" w:noHBand="0" w:noVBand="1"/>
      </w:tblPr>
      <w:tblGrid>
        <w:gridCol w:w="529"/>
        <w:gridCol w:w="1096"/>
        <w:gridCol w:w="453"/>
        <w:gridCol w:w="721"/>
        <w:gridCol w:w="877"/>
        <w:gridCol w:w="430"/>
        <w:gridCol w:w="1014"/>
        <w:gridCol w:w="154"/>
        <w:gridCol w:w="1291"/>
        <w:gridCol w:w="1373"/>
        <w:gridCol w:w="1394"/>
      </w:tblGrid>
      <w:tr w:rsidR="00645EB3" w:rsidRPr="00BD1632" w:rsidTr="00F80B3E">
        <w:trPr>
          <w:trHeight w:val="300"/>
        </w:trPr>
        <w:tc>
          <w:tcPr>
            <w:tcW w:w="1625" w:type="dxa"/>
            <w:gridSpan w:val="2"/>
            <w:tcBorders>
              <w:top w:val="single" w:sz="4" w:space="0" w:color="auto"/>
              <w:left w:val="nil"/>
              <w:bottom w:val="single" w:sz="4" w:space="0" w:color="auto"/>
              <w:right w:val="nil"/>
            </w:tcBorders>
            <w:shd w:val="clear" w:color="000000" w:fill="000000"/>
            <w:vAlign w:val="bottom"/>
            <w:hideMark/>
          </w:tcPr>
          <w:p w:rsidR="00645EB3" w:rsidRPr="008328EC" w:rsidRDefault="00645EB3" w:rsidP="00F80B3E">
            <w:pPr>
              <w:spacing w:after="0" w:line="240" w:lineRule="auto"/>
              <w:contextualSpacing w:val="0"/>
              <w:jc w:val="center"/>
              <w:rPr>
                <w:rFonts w:eastAsia="Times New Roman" w:cs="Arial"/>
                <w:b/>
                <w:bCs/>
                <w:i/>
                <w:iCs/>
                <w:color w:val="FFFFFF" w:themeColor="background1"/>
                <w:sz w:val="20"/>
                <w:szCs w:val="24"/>
                <w:lang w:eastAsia="pt-BR"/>
              </w:rPr>
            </w:pPr>
            <w:r w:rsidRPr="008328EC">
              <w:rPr>
                <w:rFonts w:eastAsia="Times New Roman" w:cs="Arial"/>
                <w:b/>
                <w:bCs/>
                <w:i/>
                <w:iCs/>
                <w:color w:val="FFFFFF" w:themeColor="background1"/>
                <w:sz w:val="20"/>
                <w:szCs w:val="24"/>
                <w:lang w:eastAsia="pt-BR"/>
              </w:rPr>
              <w:t>CENRÁRIO PADRÃO</w:t>
            </w:r>
          </w:p>
        </w:tc>
        <w:tc>
          <w:tcPr>
            <w:tcW w:w="1174" w:type="dxa"/>
            <w:gridSpan w:val="2"/>
            <w:tcBorders>
              <w:top w:val="single" w:sz="4" w:space="0" w:color="auto"/>
              <w:left w:val="nil"/>
              <w:bottom w:val="single" w:sz="4" w:space="0" w:color="auto"/>
              <w:right w:val="nil"/>
            </w:tcBorders>
            <w:shd w:val="clear" w:color="000000" w:fill="000000"/>
            <w:noWrap/>
            <w:vAlign w:val="center"/>
            <w:hideMark/>
          </w:tcPr>
          <w:p w:rsidR="00645EB3" w:rsidRPr="008328EC" w:rsidRDefault="00645EB3" w:rsidP="00F80B3E">
            <w:pPr>
              <w:spacing w:after="0" w:line="240" w:lineRule="auto"/>
              <w:contextualSpacing w:val="0"/>
              <w:jc w:val="center"/>
              <w:rPr>
                <w:rFonts w:eastAsia="Times New Roman" w:cs="Arial"/>
                <w:b/>
                <w:bCs/>
                <w:i/>
                <w:iCs/>
                <w:color w:val="FFFFFF" w:themeColor="background1"/>
                <w:sz w:val="20"/>
                <w:szCs w:val="24"/>
                <w:lang w:eastAsia="pt-BR"/>
              </w:rPr>
            </w:pPr>
            <w:r w:rsidRPr="008328EC">
              <w:rPr>
                <w:rFonts w:eastAsia="Times New Roman" w:cs="Arial"/>
                <w:b/>
                <w:bCs/>
                <w:i/>
                <w:iCs/>
                <w:color w:val="FFFFFF" w:themeColor="background1"/>
                <w:sz w:val="20"/>
                <w:szCs w:val="24"/>
                <w:lang w:eastAsia="pt-BR"/>
              </w:rPr>
              <w:t>INFLAÇÃO</w:t>
            </w:r>
          </w:p>
        </w:tc>
        <w:tc>
          <w:tcPr>
            <w:tcW w:w="1307" w:type="dxa"/>
            <w:gridSpan w:val="2"/>
            <w:tcBorders>
              <w:top w:val="single" w:sz="4" w:space="0" w:color="auto"/>
              <w:left w:val="nil"/>
              <w:bottom w:val="single" w:sz="4" w:space="0" w:color="auto"/>
              <w:right w:val="nil"/>
            </w:tcBorders>
            <w:shd w:val="clear" w:color="000000" w:fill="000000"/>
            <w:noWrap/>
            <w:vAlign w:val="center"/>
            <w:hideMark/>
          </w:tcPr>
          <w:p w:rsidR="00645EB3" w:rsidRPr="008328EC" w:rsidRDefault="00645EB3" w:rsidP="00F80B3E">
            <w:pPr>
              <w:spacing w:after="0" w:line="240" w:lineRule="auto"/>
              <w:contextualSpacing w:val="0"/>
              <w:jc w:val="center"/>
              <w:rPr>
                <w:rFonts w:eastAsia="Times New Roman" w:cs="Arial"/>
                <w:b/>
                <w:bCs/>
                <w:i/>
                <w:iCs/>
                <w:color w:val="FFFFFF" w:themeColor="background1"/>
                <w:sz w:val="20"/>
                <w:szCs w:val="24"/>
                <w:lang w:eastAsia="pt-BR"/>
              </w:rPr>
            </w:pPr>
            <w:r w:rsidRPr="008328EC">
              <w:rPr>
                <w:rFonts w:eastAsia="Times New Roman" w:cs="Arial"/>
                <w:b/>
                <w:bCs/>
                <w:i/>
                <w:iCs/>
                <w:color w:val="FFFFFF" w:themeColor="background1"/>
                <w:sz w:val="20"/>
                <w:szCs w:val="24"/>
                <w:lang w:eastAsia="pt-BR"/>
              </w:rPr>
              <w:t>5,25%</w:t>
            </w:r>
          </w:p>
        </w:tc>
        <w:tc>
          <w:tcPr>
            <w:tcW w:w="1168" w:type="dxa"/>
            <w:gridSpan w:val="2"/>
            <w:tcBorders>
              <w:top w:val="single" w:sz="4" w:space="0" w:color="auto"/>
              <w:left w:val="nil"/>
              <w:bottom w:val="single" w:sz="4" w:space="0" w:color="auto"/>
              <w:right w:val="nil"/>
            </w:tcBorders>
            <w:shd w:val="clear" w:color="000000" w:fill="000000"/>
            <w:noWrap/>
            <w:vAlign w:val="center"/>
            <w:hideMark/>
          </w:tcPr>
          <w:p w:rsidR="00645EB3" w:rsidRPr="008328EC" w:rsidRDefault="00645EB3" w:rsidP="00F80B3E">
            <w:pPr>
              <w:spacing w:after="0" w:line="240" w:lineRule="auto"/>
              <w:contextualSpacing w:val="0"/>
              <w:jc w:val="center"/>
              <w:rPr>
                <w:rFonts w:eastAsia="Times New Roman" w:cs="Arial"/>
                <w:b/>
                <w:bCs/>
                <w:i/>
                <w:iCs/>
                <w:color w:val="FFFFFF" w:themeColor="background1"/>
                <w:sz w:val="20"/>
                <w:szCs w:val="24"/>
                <w:lang w:eastAsia="pt-BR"/>
              </w:rPr>
            </w:pPr>
            <w:r w:rsidRPr="008328EC">
              <w:rPr>
                <w:rFonts w:eastAsia="Times New Roman" w:cs="Arial"/>
                <w:b/>
                <w:bCs/>
                <w:i/>
                <w:iCs/>
                <w:color w:val="FFFFFF" w:themeColor="background1"/>
                <w:sz w:val="20"/>
                <w:szCs w:val="24"/>
                <w:lang w:eastAsia="pt-BR"/>
              </w:rPr>
              <w:t>TX</w:t>
            </w:r>
            <w:r w:rsidRPr="00BD1632">
              <w:rPr>
                <w:rFonts w:eastAsia="Times New Roman" w:cs="Arial"/>
                <w:b/>
                <w:bCs/>
                <w:i/>
                <w:iCs/>
                <w:color w:val="FFFFFF" w:themeColor="background1"/>
                <w:sz w:val="20"/>
                <w:szCs w:val="24"/>
                <w:lang w:eastAsia="pt-BR"/>
              </w:rPr>
              <w:t xml:space="preserve"> DESC.</w:t>
            </w:r>
          </w:p>
        </w:tc>
        <w:tc>
          <w:tcPr>
            <w:tcW w:w="1291" w:type="dxa"/>
            <w:tcBorders>
              <w:top w:val="single" w:sz="4" w:space="0" w:color="auto"/>
              <w:left w:val="nil"/>
              <w:bottom w:val="single" w:sz="4" w:space="0" w:color="auto"/>
              <w:right w:val="nil"/>
            </w:tcBorders>
            <w:shd w:val="clear" w:color="000000" w:fill="000000"/>
            <w:noWrap/>
            <w:vAlign w:val="center"/>
            <w:hideMark/>
          </w:tcPr>
          <w:p w:rsidR="00645EB3" w:rsidRPr="008328EC" w:rsidRDefault="00645EB3" w:rsidP="00F80B3E">
            <w:pPr>
              <w:spacing w:after="0" w:line="240" w:lineRule="auto"/>
              <w:contextualSpacing w:val="0"/>
              <w:jc w:val="center"/>
              <w:rPr>
                <w:rFonts w:eastAsia="Times New Roman" w:cs="Arial"/>
                <w:b/>
                <w:bCs/>
                <w:i/>
                <w:iCs/>
                <w:color w:val="FFFFFF" w:themeColor="background1"/>
                <w:sz w:val="20"/>
                <w:szCs w:val="24"/>
                <w:lang w:eastAsia="pt-BR"/>
              </w:rPr>
            </w:pPr>
            <w:r w:rsidRPr="008328EC">
              <w:rPr>
                <w:rFonts w:eastAsia="Times New Roman" w:cs="Arial"/>
                <w:b/>
                <w:bCs/>
                <w:i/>
                <w:iCs/>
                <w:color w:val="FFFFFF" w:themeColor="background1"/>
                <w:sz w:val="20"/>
                <w:szCs w:val="24"/>
                <w:lang w:eastAsia="pt-BR"/>
              </w:rPr>
              <w:t>10,25%</w:t>
            </w:r>
          </w:p>
        </w:tc>
        <w:tc>
          <w:tcPr>
            <w:tcW w:w="1373" w:type="dxa"/>
            <w:tcBorders>
              <w:top w:val="single" w:sz="4" w:space="0" w:color="auto"/>
              <w:left w:val="nil"/>
              <w:bottom w:val="single" w:sz="4" w:space="0" w:color="auto"/>
              <w:right w:val="nil"/>
            </w:tcBorders>
            <w:shd w:val="clear" w:color="000000" w:fill="000000"/>
            <w:noWrap/>
            <w:vAlign w:val="center"/>
            <w:hideMark/>
          </w:tcPr>
          <w:p w:rsidR="00645EB3" w:rsidRPr="008328EC" w:rsidRDefault="00645EB3" w:rsidP="00F80B3E">
            <w:pPr>
              <w:spacing w:after="0" w:line="240" w:lineRule="auto"/>
              <w:contextualSpacing w:val="0"/>
              <w:jc w:val="center"/>
              <w:rPr>
                <w:rFonts w:eastAsia="Times New Roman" w:cs="Arial"/>
                <w:b/>
                <w:bCs/>
                <w:i/>
                <w:iCs/>
                <w:color w:val="FFFFFF" w:themeColor="background1"/>
                <w:sz w:val="20"/>
                <w:szCs w:val="24"/>
                <w:lang w:eastAsia="pt-BR"/>
              </w:rPr>
            </w:pPr>
            <w:r w:rsidRPr="008328EC">
              <w:rPr>
                <w:rFonts w:eastAsia="Times New Roman" w:cs="Arial"/>
                <w:b/>
                <w:bCs/>
                <w:i/>
                <w:iCs/>
                <w:color w:val="FFFFFF" w:themeColor="background1"/>
                <w:sz w:val="20"/>
                <w:szCs w:val="24"/>
                <w:lang w:eastAsia="pt-BR"/>
              </w:rPr>
              <w:t>DÓLAR</w:t>
            </w:r>
          </w:p>
        </w:tc>
        <w:tc>
          <w:tcPr>
            <w:tcW w:w="1394" w:type="dxa"/>
            <w:tcBorders>
              <w:top w:val="single" w:sz="4" w:space="0" w:color="auto"/>
              <w:left w:val="nil"/>
              <w:bottom w:val="single" w:sz="4" w:space="0" w:color="auto"/>
              <w:right w:val="nil"/>
            </w:tcBorders>
            <w:shd w:val="clear" w:color="000000" w:fill="000000"/>
            <w:noWrap/>
            <w:vAlign w:val="center"/>
            <w:hideMark/>
          </w:tcPr>
          <w:p w:rsidR="00645EB3" w:rsidRPr="008328EC" w:rsidRDefault="00645EB3" w:rsidP="00F80B3E">
            <w:pPr>
              <w:spacing w:after="0" w:line="240" w:lineRule="auto"/>
              <w:contextualSpacing w:val="0"/>
              <w:jc w:val="center"/>
              <w:rPr>
                <w:rFonts w:eastAsia="Times New Roman" w:cs="Arial"/>
                <w:b/>
                <w:bCs/>
                <w:i/>
                <w:iCs/>
                <w:color w:val="FFFFFF" w:themeColor="background1"/>
                <w:sz w:val="20"/>
                <w:szCs w:val="24"/>
                <w:lang w:eastAsia="pt-BR"/>
              </w:rPr>
            </w:pPr>
            <w:r w:rsidRPr="00BD1632">
              <w:rPr>
                <w:rFonts w:eastAsia="Times New Roman" w:cs="Arial"/>
                <w:b/>
                <w:bCs/>
                <w:i/>
                <w:iCs/>
                <w:color w:val="FFFFFF" w:themeColor="background1"/>
                <w:sz w:val="20"/>
                <w:szCs w:val="24"/>
                <w:lang w:eastAsia="pt-BR"/>
              </w:rPr>
              <w:t xml:space="preserve">R$ </w:t>
            </w:r>
            <w:r w:rsidRPr="008328EC">
              <w:rPr>
                <w:rFonts w:eastAsia="Times New Roman" w:cs="Arial"/>
                <w:b/>
                <w:bCs/>
                <w:i/>
                <w:iCs/>
                <w:color w:val="FFFFFF" w:themeColor="background1"/>
                <w:sz w:val="20"/>
                <w:szCs w:val="24"/>
                <w:lang w:eastAsia="pt-BR"/>
              </w:rPr>
              <w:t>3,16</w:t>
            </w:r>
          </w:p>
        </w:tc>
      </w:tr>
      <w:tr w:rsidR="00645EB3" w:rsidRPr="00BD1632" w:rsidTr="00F80B3E">
        <w:trPr>
          <w:trHeight w:val="900"/>
        </w:trPr>
        <w:tc>
          <w:tcPr>
            <w:tcW w:w="529" w:type="dxa"/>
            <w:tcBorders>
              <w:top w:val="nil"/>
              <w:left w:val="nil"/>
              <w:bottom w:val="single" w:sz="4" w:space="0" w:color="auto"/>
              <w:right w:val="nil"/>
            </w:tcBorders>
            <w:shd w:val="clear" w:color="auto" w:fill="auto"/>
            <w:vAlign w:val="center"/>
            <w:hideMark/>
          </w:tcPr>
          <w:p w:rsidR="00645EB3" w:rsidRPr="008328EC" w:rsidRDefault="00645EB3" w:rsidP="00F80B3E">
            <w:pPr>
              <w:spacing w:after="0" w:line="240" w:lineRule="auto"/>
              <w:contextualSpacing w:val="0"/>
              <w:jc w:val="center"/>
              <w:rPr>
                <w:rFonts w:eastAsia="Times New Roman" w:cs="Arial"/>
                <w:b/>
                <w:bCs/>
                <w:i/>
                <w:iCs/>
                <w:color w:val="000000"/>
                <w:sz w:val="20"/>
                <w:szCs w:val="24"/>
                <w:lang w:eastAsia="pt-BR"/>
              </w:rPr>
            </w:pPr>
            <w:r w:rsidRPr="008328EC">
              <w:rPr>
                <w:rFonts w:eastAsia="Times New Roman" w:cs="Arial"/>
                <w:b/>
                <w:bCs/>
                <w:i/>
                <w:iCs/>
                <w:color w:val="000000"/>
                <w:sz w:val="20"/>
                <w:szCs w:val="24"/>
                <w:lang w:eastAsia="pt-BR"/>
              </w:rPr>
              <w:t>Ano</w:t>
            </w:r>
          </w:p>
        </w:tc>
        <w:tc>
          <w:tcPr>
            <w:tcW w:w="1096" w:type="dxa"/>
            <w:tcBorders>
              <w:top w:val="nil"/>
              <w:left w:val="nil"/>
              <w:bottom w:val="single" w:sz="4" w:space="0" w:color="auto"/>
              <w:right w:val="nil"/>
            </w:tcBorders>
            <w:shd w:val="clear" w:color="auto" w:fill="auto"/>
            <w:vAlign w:val="center"/>
            <w:hideMark/>
          </w:tcPr>
          <w:p w:rsidR="00645EB3" w:rsidRPr="00BD1632" w:rsidRDefault="00645EB3" w:rsidP="00F80B3E">
            <w:pPr>
              <w:spacing w:after="0" w:line="240" w:lineRule="auto"/>
              <w:contextualSpacing w:val="0"/>
              <w:jc w:val="center"/>
              <w:rPr>
                <w:rFonts w:eastAsia="Times New Roman" w:cs="Arial"/>
                <w:b/>
                <w:bCs/>
                <w:i/>
                <w:iCs/>
                <w:color w:val="000000"/>
                <w:sz w:val="20"/>
                <w:szCs w:val="24"/>
                <w:lang w:eastAsia="pt-BR"/>
              </w:rPr>
            </w:pPr>
            <w:r w:rsidRPr="00BD1632">
              <w:rPr>
                <w:rFonts w:eastAsia="Times New Roman" w:cs="Arial"/>
                <w:b/>
                <w:bCs/>
                <w:i/>
                <w:iCs/>
                <w:color w:val="000000"/>
                <w:sz w:val="20"/>
                <w:szCs w:val="24"/>
                <w:lang w:eastAsia="pt-BR"/>
              </w:rPr>
              <w:t xml:space="preserve">Economia </w:t>
            </w:r>
            <w:r w:rsidRPr="008328EC">
              <w:rPr>
                <w:rFonts w:eastAsia="Times New Roman" w:cs="Arial"/>
                <w:b/>
                <w:bCs/>
                <w:i/>
                <w:iCs/>
                <w:color w:val="000000"/>
                <w:sz w:val="20"/>
                <w:szCs w:val="24"/>
                <w:lang w:eastAsia="pt-BR"/>
              </w:rPr>
              <w:t>energia</w:t>
            </w:r>
          </w:p>
          <w:p w:rsidR="00645EB3" w:rsidRPr="008328EC" w:rsidRDefault="00645EB3" w:rsidP="00F80B3E">
            <w:pPr>
              <w:spacing w:after="0" w:line="240" w:lineRule="auto"/>
              <w:contextualSpacing w:val="0"/>
              <w:jc w:val="center"/>
              <w:rPr>
                <w:rFonts w:eastAsia="Times New Roman" w:cs="Arial"/>
                <w:b/>
                <w:bCs/>
                <w:i/>
                <w:iCs/>
                <w:color w:val="000000"/>
                <w:sz w:val="20"/>
                <w:szCs w:val="24"/>
                <w:lang w:eastAsia="pt-BR"/>
              </w:rPr>
            </w:pPr>
            <w:r w:rsidRPr="00BD1632">
              <w:rPr>
                <w:rFonts w:eastAsia="Times New Roman" w:cs="Arial"/>
                <w:b/>
                <w:bCs/>
                <w:i/>
                <w:iCs/>
                <w:color w:val="000000"/>
                <w:sz w:val="20"/>
                <w:szCs w:val="24"/>
                <w:lang w:eastAsia="pt-BR"/>
              </w:rPr>
              <w:t>(R$)</w:t>
            </w:r>
          </w:p>
        </w:tc>
        <w:tc>
          <w:tcPr>
            <w:tcW w:w="1174" w:type="dxa"/>
            <w:gridSpan w:val="2"/>
            <w:tcBorders>
              <w:top w:val="nil"/>
              <w:left w:val="nil"/>
              <w:bottom w:val="single" w:sz="4" w:space="0" w:color="auto"/>
              <w:right w:val="nil"/>
            </w:tcBorders>
            <w:shd w:val="clear" w:color="auto" w:fill="auto"/>
            <w:vAlign w:val="center"/>
            <w:hideMark/>
          </w:tcPr>
          <w:p w:rsidR="00645EB3" w:rsidRPr="008328EC" w:rsidRDefault="00645EB3" w:rsidP="00F80B3E">
            <w:pPr>
              <w:spacing w:after="0" w:line="240" w:lineRule="auto"/>
              <w:contextualSpacing w:val="0"/>
              <w:jc w:val="center"/>
              <w:rPr>
                <w:rFonts w:eastAsia="Times New Roman" w:cs="Arial"/>
                <w:b/>
                <w:bCs/>
                <w:i/>
                <w:iCs/>
                <w:color w:val="000000"/>
                <w:sz w:val="20"/>
                <w:szCs w:val="24"/>
                <w:lang w:eastAsia="pt-BR"/>
              </w:rPr>
            </w:pPr>
            <w:r>
              <w:rPr>
                <w:rFonts w:eastAsia="Times New Roman" w:cs="Arial"/>
                <w:b/>
                <w:bCs/>
                <w:i/>
                <w:iCs/>
                <w:color w:val="000000"/>
                <w:sz w:val="20"/>
                <w:szCs w:val="24"/>
                <w:lang w:eastAsia="pt-BR"/>
              </w:rPr>
              <w:t>C MÁXIMO</w:t>
            </w:r>
            <w:r w:rsidRPr="008328EC">
              <w:rPr>
                <w:rFonts w:eastAsia="Times New Roman" w:cs="Arial"/>
                <w:b/>
                <w:bCs/>
                <w:i/>
                <w:iCs/>
                <w:color w:val="000000"/>
                <w:sz w:val="20"/>
                <w:szCs w:val="24"/>
                <w:lang w:eastAsia="pt-BR"/>
              </w:rPr>
              <w:t xml:space="preserve"> Polímero</w:t>
            </w:r>
            <w:r w:rsidRPr="00BD1632">
              <w:rPr>
                <w:rFonts w:eastAsia="Times New Roman" w:cs="Arial"/>
                <w:b/>
                <w:bCs/>
                <w:i/>
                <w:iCs/>
                <w:color w:val="000000"/>
                <w:sz w:val="20"/>
                <w:szCs w:val="24"/>
                <w:lang w:eastAsia="pt-BR"/>
              </w:rPr>
              <w:t xml:space="preserve"> (R$)</w:t>
            </w:r>
          </w:p>
        </w:tc>
        <w:tc>
          <w:tcPr>
            <w:tcW w:w="1307" w:type="dxa"/>
            <w:gridSpan w:val="2"/>
            <w:tcBorders>
              <w:top w:val="nil"/>
              <w:left w:val="nil"/>
              <w:bottom w:val="single" w:sz="4" w:space="0" w:color="auto"/>
              <w:right w:val="nil"/>
            </w:tcBorders>
            <w:shd w:val="clear" w:color="auto" w:fill="auto"/>
            <w:vAlign w:val="center"/>
            <w:hideMark/>
          </w:tcPr>
          <w:p w:rsidR="00645EB3" w:rsidRPr="008328EC" w:rsidRDefault="00645EB3" w:rsidP="00F80B3E">
            <w:pPr>
              <w:spacing w:after="0" w:line="240" w:lineRule="auto"/>
              <w:contextualSpacing w:val="0"/>
              <w:jc w:val="center"/>
              <w:rPr>
                <w:rFonts w:eastAsia="Times New Roman" w:cs="Arial"/>
                <w:b/>
                <w:bCs/>
                <w:i/>
                <w:iCs/>
                <w:color w:val="000000"/>
                <w:sz w:val="20"/>
                <w:szCs w:val="24"/>
                <w:lang w:eastAsia="pt-BR"/>
              </w:rPr>
            </w:pPr>
            <w:r w:rsidRPr="008328EC">
              <w:rPr>
                <w:rFonts w:eastAsia="Times New Roman" w:cs="Arial"/>
                <w:b/>
                <w:bCs/>
                <w:i/>
                <w:iCs/>
                <w:color w:val="000000"/>
                <w:sz w:val="20"/>
                <w:szCs w:val="24"/>
                <w:lang w:eastAsia="pt-BR"/>
              </w:rPr>
              <w:t>Manutenção e operação</w:t>
            </w:r>
            <w:r w:rsidRPr="00BD1632">
              <w:rPr>
                <w:rFonts w:eastAsia="Times New Roman" w:cs="Arial"/>
                <w:b/>
                <w:bCs/>
                <w:i/>
                <w:iCs/>
                <w:color w:val="000000"/>
                <w:sz w:val="20"/>
                <w:szCs w:val="24"/>
                <w:lang w:eastAsia="pt-BR"/>
              </w:rPr>
              <w:t xml:space="preserve"> (R$)</w:t>
            </w:r>
          </w:p>
        </w:tc>
        <w:tc>
          <w:tcPr>
            <w:tcW w:w="1168" w:type="dxa"/>
            <w:gridSpan w:val="2"/>
            <w:tcBorders>
              <w:top w:val="nil"/>
              <w:left w:val="nil"/>
              <w:bottom w:val="single" w:sz="4" w:space="0" w:color="auto"/>
              <w:right w:val="nil"/>
            </w:tcBorders>
            <w:shd w:val="clear" w:color="auto" w:fill="auto"/>
            <w:vAlign w:val="center"/>
            <w:hideMark/>
          </w:tcPr>
          <w:p w:rsidR="00645EB3" w:rsidRPr="00BD1632" w:rsidRDefault="00645EB3" w:rsidP="00F80B3E">
            <w:pPr>
              <w:spacing w:after="0" w:line="240" w:lineRule="auto"/>
              <w:contextualSpacing w:val="0"/>
              <w:jc w:val="center"/>
              <w:rPr>
                <w:rFonts w:eastAsia="Times New Roman" w:cs="Arial"/>
                <w:b/>
                <w:bCs/>
                <w:i/>
                <w:iCs/>
                <w:color w:val="000000"/>
                <w:sz w:val="20"/>
                <w:szCs w:val="24"/>
                <w:lang w:eastAsia="pt-BR"/>
              </w:rPr>
            </w:pPr>
            <w:r w:rsidRPr="008328EC">
              <w:rPr>
                <w:rFonts w:eastAsia="Times New Roman" w:cs="Arial"/>
                <w:b/>
                <w:bCs/>
                <w:i/>
                <w:iCs/>
                <w:color w:val="000000"/>
                <w:sz w:val="20"/>
                <w:szCs w:val="24"/>
                <w:lang w:eastAsia="pt-BR"/>
              </w:rPr>
              <w:t>Fluxo de Caixa</w:t>
            </w:r>
            <w:r w:rsidRPr="00BD1632">
              <w:rPr>
                <w:rFonts w:eastAsia="Times New Roman" w:cs="Arial"/>
                <w:b/>
                <w:bCs/>
                <w:i/>
                <w:iCs/>
                <w:color w:val="000000"/>
                <w:sz w:val="20"/>
                <w:szCs w:val="24"/>
                <w:lang w:eastAsia="pt-BR"/>
              </w:rPr>
              <w:t xml:space="preserve"> </w:t>
            </w:r>
          </w:p>
          <w:p w:rsidR="00645EB3" w:rsidRPr="008328EC" w:rsidRDefault="00645EB3" w:rsidP="00F80B3E">
            <w:pPr>
              <w:spacing w:after="0" w:line="240" w:lineRule="auto"/>
              <w:contextualSpacing w:val="0"/>
              <w:jc w:val="center"/>
              <w:rPr>
                <w:rFonts w:eastAsia="Times New Roman" w:cs="Arial"/>
                <w:b/>
                <w:bCs/>
                <w:i/>
                <w:iCs/>
                <w:color w:val="000000"/>
                <w:sz w:val="20"/>
                <w:szCs w:val="24"/>
                <w:lang w:eastAsia="pt-BR"/>
              </w:rPr>
            </w:pPr>
            <w:r w:rsidRPr="00BD1632">
              <w:rPr>
                <w:rFonts w:eastAsia="Times New Roman" w:cs="Arial"/>
                <w:b/>
                <w:bCs/>
                <w:i/>
                <w:iCs/>
                <w:color w:val="000000"/>
                <w:sz w:val="20"/>
                <w:szCs w:val="24"/>
                <w:lang w:eastAsia="pt-BR"/>
              </w:rPr>
              <w:t>(R$)</w:t>
            </w:r>
          </w:p>
        </w:tc>
        <w:tc>
          <w:tcPr>
            <w:tcW w:w="1291" w:type="dxa"/>
            <w:tcBorders>
              <w:top w:val="nil"/>
              <w:left w:val="nil"/>
              <w:bottom w:val="single" w:sz="4" w:space="0" w:color="auto"/>
              <w:right w:val="nil"/>
            </w:tcBorders>
            <w:shd w:val="clear" w:color="auto" w:fill="auto"/>
            <w:vAlign w:val="center"/>
            <w:hideMark/>
          </w:tcPr>
          <w:p w:rsidR="00645EB3" w:rsidRPr="008328EC" w:rsidRDefault="00645EB3" w:rsidP="00F80B3E">
            <w:pPr>
              <w:spacing w:after="0" w:line="240" w:lineRule="auto"/>
              <w:contextualSpacing w:val="0"/>
              <w:jc w:val="center"/>
              <w:rPr>
                <w:rFonts w:eastAsia="Times New Roman" w:cs="Arial"/>
                <w:b/>
                <w:bCs/>
                <w:i/>
                <w:iCs/>
                <w:color w:val="000000"/>
                <w:sz w:val="20"/>
                <w:szCs w:val="24"/>
                <w:lang w:eastAsia="pt-BR"/>
              </w:rPr>
            </w:pPr>
            <w:r w:rsidRPr="008328EC">
              <w:rPr>
                <w:rFonts w:eastAsia="Times New Roman" w:cs="Arial"/>
                <w:b/>
                <w:bCs/>
                <w:i/>
                <w:iCs/>
                <w:color w:val="000000"/>
                <w:sz w:val="20"/>
                <w:szCs w:val="24"/>
                <w:lang w:eastAsia="pt-BR"/>
              </w:rPr>
              <w:t>Fluxo de Caixa Ac</w:t>
            </w:r>
            <w:r w:rsidRPr="00BD1632">
              <w:rPr>
                <w:rFonts w:eastAsia="Times New Roman" w:cs="Arial"/>
                <w:b/>
                <w:bCs/>
                <w:i/>
                <w:iCs/>
                <w:color w:val="000000"/>
                <w:sz w:val="20"/>
                <w:szCs w:val="24"/>
                <w:lang w:eastAsia="pt-BR"/>
              </w:rPr>
              <w:t>m. (R$)</w:t>
            </w:r>
          </w:p>
        </w:tc>
        <w:tc>
          <w:tcPr>
            <w:tcW w:w="1373" w:type="dxa"/>
            <w:tcBorders>
              <w:top w:val="nil"/>
              <w:left w:val="nil"/>
              <w:bottom w:val="single" w:sz="4" w:space="0" w:color="auto"/>
              <w:right w:val="nil"/>
            </w:tcBorders>
            <w:shd w:val="clear" w:color="auto" w:fill="auto"/>
            <w:vAlign w:val="center"/>
            <w:hideMark/>
          </w:tcPr>
          <w:p w:rsidR="00645EB3" w:rsidRPr="00BD1632" w:rsidRDefault="00645EB3" w:rsidP="00F80B3E">
            <w:pPr>
              <w:spacing w:after="0" w:line="240" w:lineRule="auto"/>
              <w:contextualSpacing w:val="0"/>
              <w:jc w:val="center"/>
              <w:rPr>
                <w:rFonts w:eastAsia="Times New Roman" w:cs="Arial"/>
                <w:b/>
                <w:bCs/>
                <w:i/>
                <w:iCs/>
                <w:color w:val="000000"/>
                <w:sz w:val="20"/>
                <w:szCs w:val="24"/>
                <w:lang w:eastAsia="pt-BR"/>
              </w:rPr>
            </w:pPr>
            <w:r>
              <w:rPr>
                <w:rFonts w:eastAsia="Times New Roman" w:cs="Arial"/>
                <w:b/>
                <w:bCs/>
                <w:i/>
                <w:iCs/>
                <w:color w:val="000000"/>
                <w:sz w:val="20"/>
                <w:szCs w:val="24"/>
                <w:lang w:eastAsia="pt-BR"/>
              </w:rPr>
              <w:t xml:space="preserve">Fluxo de Caixa </w:t>
            </w:r>
            <w:r w:rsidRPr="008328EC">
              <w:rPr>
                <w:rFonts w:eastAsia="Times New Roman" w:cs="Arial"/>
                <w:b/>
                <w:bCs/>
                <w:i/>
                <w:iCs/>
                <w:color w:val="000000"/>
                <w:sz w:val="20"/>
                <w:szCs w:val="24"/>
                <w:lang w:eastAsia="pt-BR"/>
              </w:rPr>
              <w:t>Desc</w:t>
            </w:r>
            <w:r w:rsidRPr="00BD1632">
              <w:rPr>
                <w:rFonts w:eastAsia="Times New Roman" w:cs="Arial"/>
                <w:b/>
                <w:bCs/>
                <w:i/>
                <w:iCs/>
                <w:color w:val="000000"/>
                <w:sz w:val="20"/>
                <w:szCs w:val="24"/>
                <w:lang w:eastAsia="pt-BR"/>
              </w:rPr>
              <w:t>.</w:t>
            </w:r>
          </w:p>
          <w:p w:rsidR="00645EB3" w:rsidRPr="008328EC" w:rsidRDefault="00645EB3" w:rsidP="00F80B3E">
            <w:pPr>
              <w:spacing w:after="0" w:line="240" w:lineRule="auto"/>
              <w:contextualSpacing w:val="0"/>
              <w:jc w:val="center"/>
              <w:rPr>
                <w:rFonts w:eastAsia="Times New Roman" w:cs="Arial"/>
                <w:b/>
                <w:bCs/>
                <w:i/>
                <w:iCs/>
                <w:color w:val="000000"/>
                <w:sz w:val="20"/>
                <w:szCs w:val="24"/>
                <w:lang w:eastAsia="pt-BR"/>
              </w:rPr>
            </w:pPr>
            <w:r w:rsidRPr="00BD1632">
              <w:rPr>
                <w:rFonts w:eastAsia="Times New Roman" w:cs="Arial"/>
                <w:b/>
                <w:bCs/>
                <w:i/>
                <w:iCs/>
                <w:color w:val="000000"/>
                <w:sz w:val="20"/>
                <w:szCs w:val="24"/>
                <w:lang w:eastAsia="pt-BR"/>
              </w:rPr>
              <w:t>(R$)</w:t>
            </w:r>
          </w:p>
        </w:tc>
        <w:tc>
          <w:tcPr>
            <w:tcW w:w="1394" w:type="dxa"/>
            <w:tcBorders>
              <w:top w:val="nil"/>
              <w:left w:val="nil"/>
              <w:bottom w:val="single" w:sz="4" w:space="0" w:color="auto"/>
              <w:right w:val="nil"/>
            </w:tcBorders>
            <w:shd w:val="clear" w:color="auto" w:fill="auto"/>
            <w:vAlign w:val="center"/>
            <w:hideMark/>
          </w:tcPr>
          <w:p w:rsidR="00645EB3" w:rsidRPr="008328EC" w:rsidRDefault="00645EB3" w:rsidP="00F80B3E">
            <w:pPr>
              <w:spacing w:after="0" w:line="240" w:lineRule="auto"/>
              <w:contextualSpacing w:val="0"/>
              <w:jc w:val="center"/>
              <w:rPr>
                <w:rFonts w:eastAsia="Times New Roman" w:cs="Arial"/>
                <w:b/>
                <w:bCs/>
                <w:i/>
                <w:iCs/>
                <w:color w:val="000000"/>
                <w:sz w:val="20"/>
                <w:szCs w:val="24"/>
                <w:lang w:eastAsia="pt-BR"/>
              </w:rPr>
            </w:pPr>
            <w:r w:rsidRPr="008328EC">
              <w:rPr>
                <w:rFonts w:eastAsia="Times New Roman" w:cs="Arial"/>
                <w:b/>
                <w:bCs/>
                <w:i/>
                <w:iCs/>
                <w:color w:val="000000"/>
                <w:sz w:val="20"/>
                <w:szCs w:val="24"/>
                <w:lang w:eastAsia="pt-BR"/>
              </w:rPr>
              <w:t>Fluxo de Caixa Desc</w:t>
            </w:r>
            <w:r w:rsidRPr="00BD1632">
              <w:rPr>
                <w:rFonts w:eastAsia="Times New Roman" w:cs="Arial"/>
                <w:b/>
                <w:bCs/>
                <w:i/>
                <w:iCs/>
                <w:color w:val="000000"/>
                <w:sz w:val="20"/>
                <w:szCs w:val="24"/>
                <w:lang w:eastAsia="pt-BR"/>
              </w:rPr>
              <w:t>. Acm. (R$)</w:t>
            </w:r>
          </w:p>
        </w:tc>
      </w:tr>
      <w:tr w:rsidR="00645EB3" w:rsidRPr="008328EC" w:rsidTr="00F80B3E">
        <w:trPr>
          <w:trHeight w:val="300"/>
        </w:trPr>
        <w:tc>
          <w:tcPr>
            <w:tcW w:w="529" w:type="dxa"/>
            <w:tcBorders>
              <w:top w:val="nil"/>
              <w:left w:val="nil"/>
              <w:bottom w:val="single" w:sz="4" w:space="0" w:color="auto"/>
              <w:right w:val="nil"/>
            </w:tcBorders>
            <w:shd w:val="clear" w:color="auto" w:fill="auto"/>
            <w:noWrap/>
            <w:vAlign w:val="center"/>
            <w:hideMark/>
          </w:tcPr>
          <w:p w:rsidR="00645EB3" w:rsidRPr="008328EC" w:rsidRDefault="00645EB3" w:rsidP="00645EB3">
            <w:pPr>
              <w:spacing w:after="0" w:line="240" w:lineRule="auto"/>
              <w:contextualSpacing w:val="0"/>
              <w:jc w:val="center"/>
              <w:rPr>
                <w:rFonts w:ascii="Calibri" w:eastAsia="Times New Roman" w:hAnsi="Calibri" w:cs="Times New Roman"/>
                <w:color w:val="000000"/>
                <w:sz w:val="22"/>
                <w:lang w:eastAsia="pt-BR"/>
              </w:rPr>
            </w:pPr>
            <w:r w:rsidRPr="008328EC">
              <w:rPr>
                <w:rFonts w:ascii="Calibri" w:eastAsia="Times New Roman" w:hAnsi="Calibri" w:cs="Times New Roman"/>
                <w:color w:val="000000"/>
                <w:sz w:val="22"/>
                <w:lang w:eastAsia="pt-BR"/>
              </w:rPr>
              <w:t>0</w:t>
            </w:r>
          </w:p>
        </w:tc>
        <w:tc>
          <w:tcPr>
            <w:tcW w:w="1096" w:type="dxa"/>
            <w:tcBorders>
              <w:top w:val="nil"/>
              <w:left w:val="nil"/>
              <w:bottom w:val="single" w:sz="4" w:space="0" w:color="auto"/>
              <w:right w:val="nil"/>
            </w:tcBorders>
            <w:shd w:val="clear" w:color="auto" w:fill="auto"/>
            <w:noWrap/>
            <w:vAlign w:val="center"/>
            <w:hideMark/>
          </w:tcPr>
          <w:p w:rsidR="00645EB3" w:rsidRDefault="00645EB3" w:rsidP="00645EB3">
            <w:pPr>
              <w:spacing w:after="0" w:line="240" w:lineRule="auto"/>
              <w:contextualSpacing w:val="0"/>
              <w:jc w:val="center"/>
              <w:rPr>
                <w:rFonts w:ascii="Calibri" w:hAnsi="Calibri"/>
                <w:color w:val="000000"/>
                <w:sz w:val="22"/>
              </w:rPr>
            </w:pPr>
            <w:r>
              <w:rPr>
                <w:rFonts w:ascii="Calibri" w:hAnsi="Calibri"/>
                <w:color w:val="000000"/>
                <w:sz w:val="22"/>
              </w:rPr>
              <w:t>-</w:t>
            </w:r>
          </w:p>
        </w:tc>
        <w:tc>
          <w:tcPr>
            <w:tcW w:w="1174" w:type="dxa"/>
            <w:gridSpan w:val="2"/>
            <w:tcBorders>
              <w:top w:val="nil"/>
              <w:left w:val="nil"/>
              <w:bottom w:val="single" w:sz="4" w:space="0" w:color="auto"/>
              <w:right w:val="nil"/>
            </w:tcBorders>
            <w:shd w:val="clear" w:color="auto" w:fill="auto"/>
            <w:noWrap/>
            <w:vAlign w:val="center"/>
            <w:hideMark/>
          </w:tcPr>
          <w:p w:rsidR="00645EB3" w:rsidRDefault="00645EB3" w:rsidP="00645EB3">
            <w:pPr>
              <w:jc w:val="center"/>
              <w:rPr>
                <w:rFonts w:ascii="Calibri" w:hAnsi="Calibri"/>
                <w:color w:val="000000"/>
                <w:sz w:val="22"/>
              </w:rPr>
            </w:pPr>
            <w:r>
              <w:rPr>
                <w:rFonts w:ascii="Calibri" w:hAnsi="Calibri"/>
                <w:color w:val="000000"/>
                <w:sz w:val="22"/>
              </w:rPr>
              <w:t>-</w:t>
            </w:r>
          </w:p>
        </w:tc>
        <w:tc>
          <w:tcPr>
            <w:tcW w:w="1307" w:type="dxa"/>
            <w:gridSpan w:val="2"/>
            <w:tcBorders>
              <w:top w:val="nil"/>
              <w:left w:val="nil"/>
              <w:bottom w:val="single" w:sz="4" w:space="0" w:color="auto"/>
              <w:right w:val="nil"/>
            </w:tcBorders>
            <w:shd w:val="clear" w:color="auto" w:fill="auto"/>
            <w:noWrap/>
            <w:vAlign w:val="center"/>
            <w:hideMark/>
          </w:tcPr>
          <w:p w:rsidR="00645EB3" w:rsidRDefault="00645EB3" w:rsidP="00645EB3">
            <w:pPr>
              <w:jc w:val="center"/>
              <w:rPr>
                <w:rFonts w:ascii="Calibri" w:hAnsi="Calibri"/>
                <w:color w:val="000000"/>
                <w:sz w:val="22"/>
              </w:rPr>
            </w:pPr>
            <w:r>
              <w:rPr>
                <w:rFonts w:ascii="Calibri" w:hAnsi="Calibri"/>
                <w:color w:val="000000"/>
                <w:sz w:val="22"/>
              </w:rPr>
              <w:t>-</w:t>
            </w:r>
          </w:p>
        </w:tc>
        <w:tc>
          <w:tcPr>
            <w:tcW w:w="1168" w:type="dxa"/>
            <w:gridSpan w:val="2"/>
            <w:tcBorders>
              <w:top w:val="nil"/>
              <w:left w:val="nil"/>
              <w:bottom w:val="single" w:sz="4" w:space="0" w:color="auto"/>
              <w:right w:val="nil"/>
            </w:tcBorders>
            <w:shd w:val="clear" w:color="auto" w:fill="auto"/>
            <w:noWrap/>
            <w:vAlign w:val="center"/>
            <w:hideMark/>
          </w:tcPr>
          <w:p w:rsidR="00645EB3" w:rsidRPr="00645EB3" w:rsidRDefault="00645EB3" w:rsidP="00645EB3">
            <w:pPr>
              <w:jc w:val="center"/>
              <w:rPr>
                <w:rFonts w:ascii="Calibri" w:hAnsi="Calibri"/>
                <w:color w:val="FF0000"/>
                <w:sz w:val="22"/>
              </w:rPr>
            </w:pPr>
            <w:r w:rsidRPr="00645EB3">
              <w:rPr>
                <w:rFonts w:ascii="Calibri" w:hAnsi="Calibri"/>
                <w:color w:val="FF0000"/>
                <w:sz w:val="22"/>
              </w:rPr>
              <w:t>-19.899,00</w:t>
            </w:r>
          </w:p>
        </w:tc>
        <w:tc>
          <w:tcPr>
            <w:tcW w:w="1291" w:type="dxa"/>
            <w:tcBorders>
              <w:top w:val="nil"/>
              <w:left w:val="nil"/>
              <w:bottom w:val="single" w:sz="4" w:space="0" w:color="auto"/>
              <w:right w:val="nil"/>
            </w:tcBorders>
            <w:shd w:val="clear" w:color="auto" w:fill="auto"/>
            <w:noWrap/>
            <w:vAlign w:val="center"/>
            <w:hideMark/>
          </w:tcPr>
          <w:p w:rsidR="00645EB3" w:rsidRPr="00645EB3" w:rsidRDefault="00645EB3" w:rsidP="00645EB3">
            <w:pPr>
              <w:jc w:val="center"/>
              <w:rPr>
                <w:rFonts w:ascii="Calibri" w:hAnsi="Calibri"/>
                <w:color w:val="FF0000"/>
                <w:sz w:val="22"/>
              </w:rPr>
            </w:pPr>
            <w:r w:rsidRPr="00645EB3">
              <w:rPr>
                <w:rFonts w:ascii="Calibri" w:hAnsi="Calibri"/>
                <w:color w:val="FF0000"/>
                <w:sz w:val="22"/>
              </w:rPr>
              <w:t>-19.899,00</w:t>
            </w:r>
          </w:p>
        </w:tc>
        <w:tc>
          <w:tcPr>
            <w:tcW w:w="1373" w:type="dxa"/>
            <w:tcBorders>
              <w:top w:val="nil"/>
              <w:left w:val="nil"/>
              <w:bottom w:val="single" w:sz="4" w:space="0" w:color="auto"/>
              <w:right w:val="nil"/>
            </w:tcBorders>
            <w:shd w:val="clear" w:color="auto" w:fill="auto"/>
            <w:noWrap/>
            <w:vAlign w:val="center"/>
            <w:hideMark/>
          </w:tcPr>
          <w:p w:rsidR="00645EB3" w:rsidRPr="00645EB3" w:rsidRDefault="00645EB3" w:rsidP="00645EB3">
            <w:pPr>
              <w:jc w:val="center"/>
              <w:rPr>
                <w:rFonts w:ascii="Calibri" w:hAnsi="Calibri"/>
                <w:color w:val="FF0000"/>
                <w:sz w:val="22"/>
              </w:rPr>
            </w:pPr>
            <w:r w:rsidRPr="00645EB3">
              <w:rPr>
                <w:rFonts w:ascii="Calibri" w:hAnsi="Calibri"/>
                <w:color w:val="FF0000"/>
                <w:sz w:val="22"/>
              </w:rPr>
              <w:t>-19.899,00</w:t>
            </w:r>
          </w:p>
        </w:tc>
        <w:tc>
          <w:tcPr>
            <w:tcW w:w="1394" w:type="dxa"/>
            <w:tcBorders>
              <w:top w:val="nil"/>
              <w:left w:val="nil"/>
              <w:bottom w:val="single" w:sz="4" w:space="0" w:color="auto"/>
              <w:right w:val="nil"/>
            </w:tcBorders>
            <w:shd w:val="clear" w:color="auto" w:fill="auto"/>
            <w:noWrap/>
            <w:vAlign w:val="center"/>
            <w:hideMark/>
          </w:tcPr>
          <w:p w:rsidR="00645EB3" w:rsidRPr="00645EB3" w:rsidRDefault="00645EB3" w:rsidP="00645EB3">
            <w:pPr>
              <w:jc w:val="center"/>
              <w:rPr>
                <w:rFonts w:ascii="Calibri" w:hAnsi="Calibri"/>
                <w:color w:val="FF0000"/>
                <w:sz w:val="22"/>
              </w:rPr>
            </w:pPr>
            <w:r w:rsidRPr="00645EB3">
              <w:rPr>
                <w:rFonts w:ascii="Calibri" w:hAnsi="Calibri"/>
                <w:color w:val="FF0000"/>
                <w:sz w:val="22"/>
              </w:rPr>
              <w:t>-19.899,00</w:t>
            </w:r>
          </w:p>
        </w:tc>
      </w:tr>
      <w:tr w:rsidR="00645EB3" w:rsidRPr="008328EC" w:rsidTr="00F80B3E">
        <w:trPr>
          <w:trHeight w:val="300"/>
        </w:trPr>
        <w:tc>
          <w:tcPr>
            <w:tcW w:w="529" w:type="dxa"/>
            <w:tcBorders>
              <w:top w:val="nil"/>
              <w:left w:val="nil"/>
              <w:bottom w:val="single" w:sz="4" w:space="0" w:color="auto"/>
              <w:right w:val="nil"/>
            </w:tcBorders>
            <w:shd w:val="clear" w:color="auto" w:fill="auto"/>
            <w:noWrap/>
            <w:vAlign w:val="center"/>
            <w:hideMark/>
          </w:tcPr>
          <w:p w:rsidR="00645EB3" w:rsidRPr="008328EC" w:rsidRDefault="00645EB3" w:rsidP="00645EB3">
            <w:pPr>
              <w:spacing w:after="0" w:line="240" w:lineRule="auto"/>
              <w:contextualSpacing w:val="0"/>
              <w:jc w:val="center"/>
              <w:rPr>
                <w:rFonts w:ascii="Calibri" w:eastAsia="Times New Roman" w:hAnsi="Calibri" w:cs="Times New Roman"/>
                <w:color w:val="000000"/>
                <w:sz w:val="22"/>
                <w:lang w:eastAsia="pt-BR"/>
              </w:rPr>
            </w:pPr>
            <w:r w:rsidRPr="008328EC">
              <w:rPr>
                <w:rFonts w:ascii="Calibri" w:eastAsia="Times New Roman" w:hAnsi="Calibri" w:cs="Times New Roman"/>
                <w:color w:val="000000"/>
                <w:sz w:val="22"/>
                <w:lang w:eastAsia="pt-BR"/>
              </w:rPr>
              <w:t>1</w:t>
            </w:r>
          </w:p>
        </w:tc>
        <w:tc>
          <w:tcPr>
            <w:tcW w:w="1096" w:type="dxa"/>
            <w:tcBorders>
              <w:top w:val="nil"/>
              <w:left w:val="nil"/>
              <w:bottom w:val="single" w:sz="4" w:space="0" w:color="auto"/>
              <w:right w:val="nil"/>
            </w:tcBorders>
            <w:shd w:val="clear" w:color="auto" w:fill="auto"/>
            <w:noWrap/>
            <w:vAlign w:val="center"/>
            <w:hideMark/>
          </w:tcPr>
          <w:p w:rsidR="00645EB3" w:rsidRDefault="00645EB3" w:rsidP="00645EB3">
            <w:pPr>
              <w:jc w:val="center"/>
              <w:rPr>
                <w:rFonts w:ascii="Calibri" w:hAnsi="Calibri"/>
                <w:color w:val="000000"/>
                <w:sz w:val="22"/>
              </w:rPr>
            </w:pPr>
            <w:r>
              <w:rPr>
                <w:rFonts w:ascii="Calibri" w:hAnsi="Calibri"/>
                <w:color w:val="000000"/>
                <w:sz w:val="22"/>
              </w:rPr>
              <w:t>2.938,59</w:t>
            </w:r>
          </w:p>
        </w:tc>
        <w:tc>
          <w:tcPr>
            <w:tcW w:w="1174" w:type="dxa"/>
            <w:gridSpan w:val="2"/>
            <w:tcBorders>
              <w:top w:val="nil"/>
              <w:left w:val="nil"/>
              <w:bottom w:val="single" w:sz="4" w:space="0" w:color="auto"/>
              <w:right w:val="nil"/>
            </w:tcBorders>
            <w:shd w:val="clear" w:color="auto" w:fill="auto"/>
            <w:noWrap/>
            <w:vAlign w:val="center"/>
            <w:hideMark/>
          </w:tcPr>
          <w:p w:rsidR="00645EB3" w:rsidRPr="00165792" w:rsidRDefault="00645EB3" w:rsidP="00645EB3">
            <w:pPr>
              <w:jc w:val="center"/>
              <w:rPr>
                <w:rFonts w:ascii="Calibri" w:hAnsi="Calibri"/>
                <w:b/>
                <w:color w:val="000000"/>
                <w:sz w:val="23"/>
                <w:szCs w:val="23"/>
              </w:rPr>
            </w:pPr>
            <w:r w:rsidRPr="00165792">
              <w:rPr>
                <w:rFonts w:ascii="Calibri" w:hAnsi="Calibri"/>
                <w:b/>
                <w:color w:val="C00000"/>
                <w:sz w:val="23"/>
                <w:szCs w:val="23"/>
              </w:rPr>
              <w:t>996,45</w:t>
            </w:r>
          </w:p>
        </w:tc>
        <w:tc>
          <w:tcPr>
            <w:tcW w:w="1307" w:type="dxa"/>
            <w:gridSpan w:val="2"/>
            <w:tcBorders>
              <w:top w:val="nil"/>
              <w:left w:val="nil"/>
              <w:bottom w:val="single" w:sz="4" w:space="0" w:color="auto"/>
              <w:right w:val="nil"/>
            </w:tcBorders>
            <w:shd w:val="clear" w:color="auto" w:fill="auto"/>
            <w:noWrap/>
            <w:vAlign w:val="center"/>
            <w:hideMark/>
          </w:tcPr>
          <w:p w:rsidR="00645EB3" w:rsidRDefault="00645EB3" w:rsidP="00645EB3">
            <w:pPr>
              <w:jc w:val="center"/>
              <w:rPr>
                <w:rFonts w:ascii="Calibri" w:hAnsi="Calibri"/>
                <w:color w:val="000000"/>
                <w:sz w:val="22"/>
              </w:rPr>
            </w:pPr>
            <w:r>
              <w:rPr>
                <w:rFonts w:ascii="Calibri" w:hAnsi="Calibri"/>
                <w:color w:val="000000"/>
                <w:sz w:val="22"/>
              </w:rPr>
              <w:t>198,99</w:t>
            </w:r>
          </w:p>
        </w:tc>
        <w:tc>
          <w:tcPr>
            <w:tcW w:w="1168" w:type="dxa"/>
            <w:gridSpan w:val="2"/>
            <w:tcBorders>
              <w:top w:val="nil"/>
              <w:left w:val="nil"/>
              <w:bottom w:val="single" w:sz="4" w:space="0" w:color="auto"/>
              <w:right w:val="nil"/>
            </w:tcBorders>
            <w:shd w:val="clear" w:color="auto" w:fill="auto"/>
            <w:noWrap/>
            <w:vAlign w:val="center"/>
            <w:hideMark/>
          </w:tcPr>
          <w:p w:rsidR="00645EB3" w:rsidRDefault="00645EB3" w:rsidP="00645EB3">
            <w:pPr>
              <w:jc w:val="center"/>
              <w:rPr>
                <w:rFonts w:ascii="Calibri" w:hAnsi="Calibri"/>
                <w:color w:val="000000"/>
                <w:sz w:val="22"/>
              </w:rPr>
            </w:pPr>
            <w:r>
              <w:rPr>
                <w:rFonts w:ascii="Calibri" w:hAnsi="Calibri"/>
                <w:color w:val="000000"/>
                <w:sz w:val="22"/>
              </w:rPr>
              <w:t>1.743,15</w:t>
            </w:r>
          </w:p>
        </w:tc>
        <w:tc>
          <w:tcPr>
            <w:tcW w:w="1291" w:type="dxa"/>
            <w:tcBorders>
              <w:top w:val="nil"/>
              <w:left w:val="nil"/>
              <w:bottom w:val="single" w:sz="4" w:space="0" w:color="auto"/>
              <w:right w:val="nil"/>
            </w:tcBorders>
            <w:shd w:val="clear" w:color="auto" w:fill="auto"/>
            <w:noWrap/>
            <w:vAlign w:val="center"/>
            <w:hideMark/>
          </w:tcPr>
          <w:p w:rsidR="00645EB3" w:rsidRPr="00645EB3" w:rsidRDefault="00645EB3" w:rsidP="00645EB3">
            <w:pPr>
              <w:jc w:val="center"/>
              <w:rPr>
                <w:rFonts w:ascii="Calibri" w:hAnsi="Calibri"/>
                <w:color w:val="FF0000"/>
                <w:sz w:val="22"/>
              </w:rPr>
            </w:pPr>
            <w:r w:rsidRPr="00645EB3">
              <w:rPr>
                <w:rFonts w:ascii="Calibri" w:hAnsi="Calibri"/>
                <w:color w:val="FF0000"/>
                <w:sz w:val="22"/>
              </w:rPr>
              <w:t>-18.155,85</w:t>
            </w:r>
          </w:p>
        </w:tc>
        <w:tc>
          <w:tcPr>
            <w:tcW w:w="1373" w:type="dxa"/>
            <w:tcBorders>
              <w:top w:val="nil"/>
              <w:left w:val="nil"/>
              <w:bottom w:val="single" w:sz="4" w:space="0" w:color="auto"/>
              <w:right w:val="nil"/>
            </w:tcBorders>
            <w:shd w:val="clear" w:color="auto" w:fill="auto"/>
            <w:noWrap/>
            <w:vAlign w:val="center"/>
            <w:hideMark/>
          </w:tcPr>
          <w:p w:rsidR="00645EB3" w:rsidRDefault="00645EB3" w:rsidP="00645EB3">
            <w:pPr>
              <w:jc w:val="center"/>
              <w:rPr>
                <w:rFonts w:ascii="Calibri" w:hAnsi="Calibri"/>
                <w:color w:val="000000"/>
                <w:sz w:val="22"/>
              </w:rPr>
            </w:pPr>
            <w:r>
              <w:rPr>
                <w:rFonts w:ascii="Calibri" w:hAnsi="Calibri"/>
                <w:color w:val="000000"/>
                <w:sz w:val="22"/>
              </w:rPr>
              <w:t>1.581,09</w:t>
            </w:r>
          </w:p>
        </w:tc>
        <w:tc>
          <w:tcPr>
            <w:tcW w:w="1394" w:type="dxa"/>
            <w:tcBorders>
              <w:top w:val="nil"/>
              <w:left w:val="nil"/>
              <w:bottom w:val="single" w:sz="4" w:space="0" w:color="auto"/>
              <w:right w:val="nil"/>
            </w:tcBorders>
            <w:shd w:val="clear" w:color="auto" w:fill="auto"/>
            <w:noWrap/>
            <w:vAlign w:val="center"/>
            <w:hideMark/>
          </w:tcPr>
          <w:p w:rsidR="00645EB3" w:rsidRPr="00645EB3" w:rsidRDefault="00645EB3" w:rsidP="00645EB3">
            <w:pPr>
              <w:jc w:val="center"/>
              <w:rPr>
                <w:rFonts w:ascii="Calibri" w:hAnsi="Calibri"/>
                <w:color w:val="FF0000"/>
                <w:sz w:val="22"/>
              </w:rPr>
            </w:pPr>
            <w:r w:rsidRPr="00645EB3">
              <w:rPr>
                <w:rFonts w:ascii="Calibri" w:hAnsi="Calibri"/>
                <w:color w:val="FF0000"/>
                <w:sz w:val="22"/>
              </w:rPr>
              <w:t>-18.317,91</w:t>
            </w:r>
          </w:p>
        </w:tc>
      </w:tr>
      <w:tr w:rsidR="00645EB3" w:rsidRPr="008328EC" w:rsidTr="00F80B3E">
        <w:trPr>
          <w:trHeight w:val="300"/>
        </w:trPr>
        <w:tc>
          <w:tcPr>
            <w:tcW w:w="529" w:type="dxa"/>
            <w:tcBorders>
              <w:top w:val="nil"/>
              <w:left w:val="nil"/>
              <w:bottom w:val="single" w:sz="4" w:space="0" w:color="auto"/>
              <w:right w:val="nil"/>
            </w:tcBorders>
            <w:shd w:val="clear" w:color="auto" w:fill="auto"/>
            <w:noWrap/>
            <w:vAlign w:val="center"/>
            <w:hideMark/>
          </w:tcPr>
          <w:p w:rsidR="00645EB3" w:rsidRPr="008328EC" w:rsidRDefault="00645EB3" w:rsidP="00645EB3">
            <w:pPr>
              <w:spacing w:after="0" w:line="240" w:lineRule="auto"/>
              <w:contextualSpacing w:val="0"/>
              <w:jc w:val="center"/>
              <w:rPr>
                <w:rFonts w:ascii="Calibri" w:eastAsia="Times New Roman" w:hAnsi="Calibri" w:cs="Times New Roman"/>
                <w:color w:val="000000"/>
                <w:sz w:val="22"/>
                <w:lang w:eastAsia="pt-BR"/>
              </w:rPr>
            </w:pPr>
            <w:r w:rsidRPr="008328EC">
              <w:rPr>
                <w:rFonts w:ascii="Calibri" w:eastAsia="Times New Roman" w:hAnsi="Calibri" w:cs="Times New Roman"/>
                <w:color w:val="000000"/>
                <w:sz w:val="22"/>
                <w:lang w:eastAsia="pt-BR"/>
              </w:rPr>
              <w:t>2</w:t>
            </w:r>
          </w:p>
        </w:tc>
        <w:tc>
          <w:tcPr>
            <w:tcW w:w="1096" w:type="dxa"/>
            <w:tcBorders>
              <w:top w:val="nil"/>
              <w:left w:val="nil"/>
              <w:bottom w:val="single" w:sz="4" w:space="0" w:color="auto"/>
              <w:right w:val="nil"/>
            </w:tcBorders>
            <w:shd w:val="clear" w:color="auto" w:fill="auto"/>
            <w:noWrap/>
            <w:vAlign w:val="center"/>
            <w:hideMark/>
          </w:tcPr>
          <w:p w:rsidR="00645EB3" w:rsidRDefault="00645EB3" w:rsidP="00645EB3">
            <w:pPr>
              <w:jc w:val="center"/>
              <w:rPr>
                <w:rFonts w:ascii="Calibri" w:hAnsi="Calibri"/>
                <w:color w:val="000000"/>
                <w:sz w:val="22"/>
              </w:rPr>
            </w:pPr>
            <w:r>
              <w:rPr>
                <w:rFonts w:ascii="Calibri" w:hAnsi="Calibri"/>
                <w:color w:val="000000"/>
                <w:sz w:val="22"/>
              </w:rPr>
              <w:t>3.079,64</w:t>
            </w:r>
          </w:p>
        </w:tc>
        <w:tc>
          <w:tcPr>
            <w:tcW w:w="1174" w:type="dxa"/>
            <w:gridSpan w:val="2"/>
            <w:tcBorders>
              <w:top w:val="nil"/>
              <w:left w:val="nil"/>
              <w:bottom w:val="single" w:sz="4" w:space="0" w:color="auto"/>
              <w:right w:val="nil"/>
            </w:tcBorders>
            <w:shd w:val="clear" w:color="auto" w:fill="auto"/>
            <w:noWrap/>
            <w:vAlign w:val="center"/>
            <w:hideMark/>
          </w:tcPr>
          <w:p w:rsidR="00645EB3" w:rsidRDefault="00645EB3" w:rsidP="00645EB3">
            <w:pPr>
              <w:jc w:val="center"/>
              <w:rPr>
                <w:rFonts w:ascii="Calibri" w:hAnsi="Calibri"/>
                <w:color w:val="000000"/>
                <w:sz w:val="22"/>
              </w:rPr>
            </w:pPr>
            <w:r>
              <w:rPr>
                <w:rFonts w:ascii="Calibri" w:hAnsi="Calibri"/>
                <w:color w:val="000000"/>
                <w:sz w:val="22"/>
              </w:rPr>
              <w:t>1.048,76</w:t>
            </w:r>
          </w:p>
        </w:tc>
        <w:tc>
          <w:tcPr>
            <w:tcW w:w="1307" w:type="dxa"/>
            <w:gridSpan w:val="2"/>
            <w:tcBorders>
              <w:top w:val="nil"/>
              <w:left w:val="nil"/>
              <w:bottom w:val="single" w:sz="4" w:space="0" w:color="auto"/>
              <w:right w:val="nil"/>
            </w:tcBorders>
            <w:shd w:val="clear" w:color="auto" w:fill="auto"/>
            <w:noWrap/>
            <w:vAlign w:val="center"/>
            <w:hideMark/>
          </w:tcPr>
          <w:p w:rsidR="00645EB3" w:rsidRDefault="00645EB3" w:rsidP="00645EB3">
            <w:pPr>
              <w:jc w:val="center"/>
              <w:rPr>
                <w:rFonts w:ascii="Calibri" w:hAnsi="Calibri"/>
                <w:color w:val="000000"/>
                <w:sz w:val="22"/>
              </w:rPr>
            </w:pPr>
            <w:r>
              <w:rPr>
                <w:rFonts w:ascii="Calibri" w:hAnsi="Calibri"/>
                <w:color w:val="000000"/>
                <w:sz w:val="22"/>
              </w:rPr>
              <w:t>209,44</w:t>
            </w:r>
          </w:p>
        </w:tc>
        <w:tc>
          <w:tcPr>
            <w:tcW w:w="1168" w:type="dxa"/>
            <w:gridSpan w:val="2"/>
            <w:tcBorders>
              <w:top w:val="nil"/>
              <w:left w:val="nil"/>
              <w:bottom w:val="single" w:sz="4" w:space="0" w:color="auto"/>
              <w:right w:val="nil"/>
            </w:tcBorders>
            <w:shd w:val="clear" w:color="auto" w:fill="auto"/>
            <w:noWrap/>
            <w:vAlign w:val="center"/>
            <w:hideMark/>
          </w:tcPr>
          <w:p w:rsidR="00645EB3" w:rsidRDefault="00645EB3" w:rsidP="00645EB3">
            <w:pPr>
              <w:jc w:val="center"/>
              <w:rPr>
                <w:rFonts w:ascii="Calibri" w:hAnsi="Calibri"/>
                <w:color w:val="000000"/>
                <w:sz w:val="22"/>
              </w:rPr>
            </w:pPr>
            <w:r>
              <w:rPr>
                <w:rFonts w:ascii="Calibri" w:hAnsi="Calibri"/>
                <w:color w:val="000000"/>
                <w:sz w:val="22"/>
              </w:rPr>
              <w:t>1.821,44</w:t>
            </w:r>
          </w:p>
        </w:tc>
        <w:tc>
          <w:tcPr>
            <w:tcW w:w="1291" w:type="dxa"/>
            <w:tcBorders>
              <w:top w:val="nil"/>
              <w:left w:val="nil"/>
              <w:bottom w:val="single" w:sz="4" w:space="0" w:color="auto"/>
              <w:right w:val="nil"/>
            </w:tcBorders>
            <w:shd w:val="clear" w:color="auto" w:fill="auto"/>
            <w:noWrap/>
            <w:vAlign w:val="center"/>
            <w:hideMark/>
          </w:tcPr>
          <w:p w:rsidR="00645EB3" w:rsidRPr="00645EB3" w:rsidRDefault="00645EB3" w:rsidP="00645EB3">
            <w:pPr>
              <w:jc w:val="center"/>
              <w:rPr>
                <w:rFonts w:ascii="Calibri" w:hAnsi="Calibri"/>
                <w:color w:val="FF0000"/>
                <w:sz w:val="22"/>
              </w:rPr>
            </w:pPr>
            <w:r w:rsidRPr="00645EB3">
              <w:rPr>
                <w:rFonts w:ascii="Calibri" w:hAnsi="Calibri"/>
                <w:color w:val="FF0000"/>
                <w:sz w:val="22"/>
              </w:rPr>
              <w:t>-16.334,40</w:t>
            </w:r>
          </w:p>
        </w:tc>
        <w:tc>
          <w:tcPr>
            <w:tcW w:w="1373" w:type="dxa"/>
            <w:tcBorders>
              <w:top w:val="nil"/>
              <w:left w:val="nil"/>
              <w:bottom w:val="single" w:sz="4" w:space="0" w:color="auto"/>
              <w:right w:val="nil"/>
            </w:tcBorders>
            <w:shd w:val="clear" w:color="auto" w:fill="auto"/>
            <w:noWrap/>
            <w:vAlign w:val="center"/>
            <w:hideMark/>
          </w:tcPr>
          <w:p w:rsidR="00645EB3" w:rsidRDefault="00645EB3" w:rsidP="00645EB3">
            <w:pPr>
              <w:jc w:val="center"/>
              <w:rPr>
                <w:rFonts w:ascii="Calibri" w:hAnsi="Calibri"/>
                <w:color w:val="000000"/>
                <w:sz w:val="22"/>
              </w:rPr>
            </w:pPr>
            <w:r>
              <w:rPr>
                <w:rFonts w:ascii="Calibri" w:hAnsi="Calibri"/>
                <w:color w:val="000000"/>
                <w:sz w:val="22"/>
              </w:rPr>
              <w:t>1.498,51</w:t>
            </w:r>
          </w:p>
        </w:tc>
        <w:tc>
          <w:tcPr>
            <w:tcW w:w="1394" w:type="dxa"/>
            <w:tcBorders>
              <w:top w:val="nil"/>
              <w:left w:val="nil"/>
              <w:bottom w:val="single" w:sz="4" w:space="0" w:color="auto"/>
              <w:right w:val="nil"/>
            </w:tcBorders>
            <w:shd w:val="clear" w:color="auto" w:fill="auto"/>
            <w:noWrap/>
            <w:vAlign w:val="center"/>
            <w:hideMark/>
          </w:tcPr>
          <w:p w:rsidR="00645EB3" w:rsidRPr="00645EB3" w:rsidRDefault="00645EB3" w:rsidP="00645EB3">
            <w:pPr>
              <w:jc w:val="center"/>
              <w:rPr>
                <w:rFonts w:ascii="Calibri" w:hAnsi="Calibri"/>
                <w:color w:val="FF0000"/>
                <w:sz w:val="22"/>
              </w:rPr>
            </w:pPr>
            <w:r w:rsidRPr="00645EB3">
              <w:rPr>
                <w:rFonts w:ascii="Calibri" w:hAnsi="Calibri"/>
                <w:color w:val="FF0000"/>
                <w:sz w:val="22"/>
              </w:rPr>
              <w:t>-16.819,40</w:t>
            </w:r>
          </w:p>
        </w:tc>
      </w:tr>
      <w:tr w:rsidR="00645EB3" w:rsidRPr="008328EC" w:rsidTr="00F80B3E">
        <w:trPr>
          <w:trHeight w:val="300"/>
        </w:trPr>
        <w:tc>
          <w:tcPr>
            <w:tcW w:w="529" w:type="dxa"/>
            <w:tcBorders>
              <w:top w:val="nil"/>
              <w:left w:val="nil"/>
              <w:bottom w:val="single" w:sz="4" w:space="0" w:color="auto"/>
              <w:right w:val="nil"/>
            </w:tcBorders>
            <w:shd w:val="clear" w:color="auto" w:fill="auto"/>
            <w:noWrap/>
            <w:vAlign w:val="center"/>
            <w:hideMark/>
          </w:tcPr>
          <w:p w:rsidR="00645EB3" w:rsidRPr="008328EC" w:rsidRDefault="00645EB3" w:rsidP="00645EB3">
            <w:pPr>
              <w:spacing w:after="0" w:line="240" w:lineRule="auto"/>
              <w:contextualSpacing w:val="0"/>
              <w:jc w:val="center"/>
              <w:rPr>
                <w:rFonts w:ascii="Calibri" w:eastAsia="Times New Roman" w:hAnsi="Calibri" w:cs="Times New Roman"/>
                <w:color w:val="000000"/>
                <w:sz w:val="22"/>
                <w:lang w:eastAsia="pt-BR"/>
              </w:rPr>
            </w:pPr>
            <w:r>
              <w:rPr>
                <w:rFonts w:ascii="Calibri" w:eastAsia="Times New Roman" w:hAnsi="Calibri" w:cs="Times New Roman"/>
                <w:color w:val="000000"/>
                <w:sz w:val="22"/>
                <w:lang w:eastAsia="pt-BR"/>
              </w:rPr>
              <w:t>...</w:t>
            </w:r>
          </w:p>
        </w:tc>
        <w:tc>
          <w:tcPr>
            <w:tcW w:w="1096" w:type="dxa"/>
            <w:tcBorders>
              <w:top w:val="nil"/>
              <w:left w:val="nil"/>
              <w:bottom w:val="single" w:sz="4" w:space="0" w:color="auto"/>
              <w:right w:val="nil"/>
            </w:tcBorders>
            <w:shd w:val="clear" w:color="auto" w:fill="auto"/>
            <w:noWrap/>
            <w:vAlign w:val="center"/>
            <w:hideMark/>
          </w:tcPr>
          <w:p w:rsidR="00645EB3" w:rsidRDefault="00645EB3" w:rsidP="00645EB3">
            <w:pPr>
              <w:jc w:val="center"/>
              <w:rPr>
                <w:rFonts w:ascii="Calibri" w:hAnsi="Calibri"/>
                <w:color w:val="000000"/>
                <w:sz w:val="22"/>
              </w:rPr>
            </w:pPr>
            <w:r>
              <w:rPr>
                <w:rFonts w:ascii="Calibri" w:hAnsi="Calibri"/>
                <w:color w:val="000000"/>
                <w:sz w:val="22"/>
              </w:rPr>
              <w:t>...</w:t>
            </w:r>
          </w:p>
        </w:tc>
        <w:tc>
          <w:tcPr>
            <w:tcW w:w="1174" w:type="dxa"/>
            <w:gridSpan w:val="2"/>
            <w:tcBorders>
              <w:top w:val="nil"/>
              <w:left w:val="nil"/>
              <w:bottom w:val="single" w:sz="4" w:space="0" w:color="auto"/>
              <w:right w:val="nil"/>
            </w:tcBorders>
            <w:shd w:val="clear" w:color="auto" w:fill="auto"/>
            <w:noWrap/>
            <w:vAlign w:val="center"/>
            <w:hideMark/>
          </w:tcPr>
          <w:p w:rsidR="00645EB3" w:rsidRDefault="00645EB3" w:rsidP="00645EB3">
            <w:pPr>
              <w:jc w:val="center"/>
              <w:rPr>
                <w:rFonts w:ascii="Calibri" w:hAnsi="Calibri"/>
                <w:color w:val="000000"/>
                <w:sz w:val="22"/>
              </w:rPr>
            </w:pPr>
            <w:r>
              <w:rPr>
                <w:rFonts w:ascii="Calibri" w:hAnsi="Calibri"/>
                <w:color w:val="000000"/>
                <w:sz w:val="22"/>
              </w:rPr>
              <w:t>...</w:t>
            </w:r>
          </w:p>
        </w:tc>
        <w:tc>
          <w:tcPr>
            <w:tcW w:w="1307" w:type="dxa"/>
            <w:gridSpan w:val="2"/>
            <w:tcBorders>
              <w:top w:val="nil"/>
              <w:left w:val="nil"/>
              <w:bottom w:val="single" w:sz="4" w:space="0" w:color="auto"/>
              <w:right w:val="nil"/>
            </w:tcBorders>
            <w:shd w:val="clear" w:color="auto" w:fill="auto"/>
            <w:noWrap/>
            <w:vAlign w:val="center"/>
            <w:hideMark/>
          </w:tcPr>
          <w:p w:rsidR="00645EB3" w:rsidRDefault="00645EB3" w:rsidP="00645EB3">
            <w:pPr>
              <w:jc w:val="center"/>
              <w:rPr>
                <w:rFonts w:ascii="Calibri" w:hAnsi="Calibri"/>
                <w:color w:val="000000"/>
                <w:sz w:val="22"/>
              </w:rPr>
            </w:pPr>
            <w:r>
              <w:rPr>
                <w:rFonts w:ascii="Calibri" w:hAnsi="Calibri"/>
                <w:color w:val="000000"/>
                <w:sz w:val="22"/>
              </w:rPr>
              <w:t>...</w:t>
            </w:r>
          </w:p>
        </w:tc>
        <w:tc>
          <w:tcPr>
            <w:tcW w:w="1168" w:type="dxa"/>
            <w:gridSpan w:val="2"/>
            <w:tcBorders>
              <w:top w:val="nil"/>
              <w:left w:val="nil"/>
              <w:bottom w:val="single" w:sz="4" w:space="0" w:color="auto"/>
              <w:right w:val="nil"/>
            </w:tcBorders>
            <w:shd w:val="clear" w:color="auto" w:fill="auto"/>
            <w:noWrap/>
            <w:vAlign w:val="center"/>
            <w:hideMark/>
          </w:tcPr>
          <w:p w:rsidR="00645EB3" w:rsidRDefault="00645EB3" w:rsidP="00645EB3">
            <w:pPr>
              <w:jc w:val="center"/>
              <w:rPr>
                <w:rFonts w:ascii="Calibri" w:hAnsi="Calibri"/>
                <w:color w:val="000000"/>
                <w:sz w:val="22"/>
              </w:rPr>
            </w:pPr>
            <w:r>
              <w:rPr>
                <w:rFonts w:ascii="Calibri" w:hAnsi="Calibri"/>
                <w:color w:val="000000"/>
                <w:sz w:val="22"/>
              </w:rPr>
              <w:t>...</w:t>
            </w:r>
          </w:p>
        </w:tc>
        <w:tc>
          <w:tcPr>
            <w:tcW w:w="1291" w:type="dxa"/>
            <w:tcBorders>
              <w:top w:val="nil"/>
              <w:left w:val="nil"/>
              <w:bottom w:val="single" w:sz="4" w:space="0" w:color="auto"/>
              <w:right w:val="nil"/>
            </w:tcBorders>
            <w:shd w:val="clear" w:color="auto" w:fill="auto"/>
            <w:noWrap/>
            <w:vAlign w:val="center"/>
            <w:hideMark/>
          </w:tcPr>
          <w:p w:rsidR="00645EB3" w:rsidRDefault="00645EB3" w:rsidP="00645EB3">
            <w:pPr>
              <w:jc w:val="center"/>
              <w:rPr>
                <w:rFonts w:ascii="Calibri" w:hAnsi="Calibri"/>
                <w:color w:val="000000"/>
                <w:sz w:val="22"/>
              </w:rPr>
            </w:pPr>
            <w:r>
              <w:rPr>
                <w:rFonts w:ascii="Calibri" w:hAnsi="Calibri"/>
                <w:color w:val="000000"/>
                <w:sz w:val="22"/>
              </w:rPr>
              <w:t>...</w:t>
            </w:r>
          </w:p>
        </w:tc>
        <w:tc>
          <w:tcPr>
            <w:tcW w:w="1373" w:type="dxa"/>
            <w:tcBorders>
              <w:top w:val="nil"/>
              <w:left w:val="nil"/>
              <w:bottom w:val="single" w:sz="4" w:space="0" w:color="auto"/>
              <w:right w:val="nil"/>
            </w:tcBorders>
            <w:shd w:val="clear" w:color="auto" w:fill="auto"/>
            <w:noWrap/>
            <w:vAlign w:val="center"/>
            <w:hideMark/>
          </w:tcPr>
          <w:p w:rsidR="00645EB3" w:rsidRDefault="00645EB3" w:rsidP="00645EB3">
            <w:pPr>
              <w:jc w:val="center"/>
              <w:rPr>
                <w:rFonts w:ascii="Calibri" w:hAnsi="Calibri"/>
                <w:color w:val="000000"/>
                <w:sz w:val="22"/>
              </w:rPr>
            </w:pPr>
            <w:r>
              <w:rPr>
                <w:rFonts w:ascii="Calibri" w:hAnsi="Calibri"/>
                <w:color w:val="000000"/>
                <w:sz w:val="22"/>
              </w:rPr>
              <w:t>...</w:t>
            </w:r>
          </w:p>
        </w:tc>
        <w:tc>
          <w:tcPr>
            <w:tcW w:w="1394" w:type="dxa"/>
            <w:tcBorders>
              <w:top w:val="nil"/>
              <w:left w:val="nil"/>
              <w:bottom w:val="single" w:sz="4" w:space="0" w:color="auto"/>
              <w:right w:val="nil"/>
            </w:tcBorders>
            <w:shd w:val="clear" w:color="auto" w:fill="auto"/>
            <w:noWrap/>
            <w:vAlign w:val="center"/>
            <w:hideMark/>
          </w:tcPr>
          <w:p w:rsidR="00645EB3" w:rsidRDefault="00645EB3" w:rsidP="00645EB3">
            <w:pPr>
              <w:jc w:val="center"/>
              <w:rPr>
                <w:rFonts w:ascii="Calibri" w:hAnsi="Calibri"/>
                <w:color w:val="000000"/>
                <w:sz w:val="22"/>
              </w:rPr>
            </w:pPr>
            <w:r>
              <w:rPr>
                <w:rFonts w:ascii="Calibri" w:hAnsi="Calibri"/>
                <w:color w:val="000000"/>
                <w:sz w:val="22"/>
              </w:rPr>
              <w:t>...</w:t>
            </w:r>
          </w:p>
        </w:tc>
      </w:tr>
      <w:tr w:rsidR="00645EB3" w:rsidRPr="008328EC" w:rsidTr="00F80B3E">
        <w:trPr>
          <w:trHeight w:val="300"/>
        </w:trPr>
        <w:tc>
          <w:tcPr>
            <w:tcW w:w="529" w:type="dxa"/>
            <w:tcBorders>
              <w:top w:val="nil"/>
              <w:left w:val="nil"/>
              <w:bottom w:val="single" w:sz="4" w:space="0" w:color="auto"/>
              <w:right w:val="nil"/>
            </w:tcBorders>
            <w:shd w:val="clear" w:color="auto" w:fill="auto"/>
            <w:noWrap/>
            <w:vAlign w:val="center"/>
            <w:hideMark/>
          </w:tcPr>
          <w:p w:rsidR="00645EB3" w:rsidRPr="008328EC" w:rsidRDefault="00645EB3" w:rsidP="00645EB3">
            <w:pPr>
              <w:spacing w:after="0" w:line="240" w:lineRule="auto"/>
              <w:contextualSpacing w:val="0"/>
              <w:jc w:val="center"/>
              <w:rPr>
                <w:rFonts w:ascii="Calibri" w:eastAsia="Times New Roman" w:hAnsi="Calibri" w:cs="Times New Roman"/>
                <w:color w:val="000000"/>
                <w:sz w:val="22"/>
                <w:lang w:eastAsia="pt-BR"/>
              </w:rPr>
            </w:pPr>
            <w:r w:rsidRPr="008328EC">
              <w:rPr>
                <w:rFonts w:ascii="Calibri" w:eastAsia="Times New Roman" w:hAnsi="Calibri" w:cs="Times New Roman"/>
                <w:color w:val="000000"/>
                <w:sz w:val="22"/>
                <w:lang w:eastAsia="pt-BR"/>
              </w:rPr>
              <w:t>19</w:t>
            </w:r>
          </w:p>
        </w:tc>
        <w:tc>
          <w:tcPr>
            <w:tcW w:w="1096" w:type="dxa"/>
            <w:tcBorders>
              <w:top w:val="nil"/>
              <w:left w:val="nil"/>
              <w:bottom w:val="single" w:sz="4" w:space="0" w:color="auto"/>
              <w:right w:val="nil"/>
            </w:tcBorders>
            <w:shd w:val="clear" w:color="auto" w:fill="auto"/>
            <w:noWrap/>
            <w:vAlign w:val="center"/>
            <w:hideMark/>
          </w:tcPr>
          <w:p w:rsidR="00645EB3" w:rsidRDefault="00645EB3" w:rsidP="00645EB3">
            <w:pPr>
              <w:jc w:val="center"/>
              <w:rPr>
                <w:rFonts w:ascii="Calibri" w:hAnsi="Calibri"/>
                <w:color w:val="000000"/>
                <w:sz w:val="22"/>
              </w:rPr>
            </w:pPr>
            <w:r>
              <w:rPr>
                <w:rFonts w:ascii="Calibri" w:hAnsi="Calibri"/>
                <w:color w:val="000000"/>
                <w:sz w:val="22"/>
              </w:rPr>
              <w:t>6.833,48</w:t>
            </w:r>
          </w:p>
        </w:tc>
        <w:tc>
          <w:tcPr>
            <w:tcW w:w="1174" w:type="dxa"/>
            <w:gridSpan w:val="2"/>
            <w:tcBorders>
              <w:top w:val="nil"/>
              <w:left w:val="nil"/>
              <w:bottom w:val="single" w:sz="4" w:space="0" w:color="auto"/>
              <w:right w:val="nil"/>
            </w:tcBorders>
            <w:shd w:val="clear" w:color="auto" w:fill="auto"/>
            <w:noWrap/>
            <w:vAlign w:val="center"/>
            <w:hideMark/>
          </w:tcPr>
          <w:p w:rsidR="00645EB3" w:rsidRDefault="00645EB3" w:rsidP="00645EB3">
            <w:pPr>
              <w:jc w:val="center"/>
              <w:rPr>
                <w:rFonts w:ascii="Calibri" w:hAnsi="Calibri"/>
                <w:color w:val="000000"/>
                <w:sz w:val="22"/>
              </w:rPr>
            </w:pPr>
            <w:r>
              <w:rPr>
                <w:rFonts w:ascii="Calibri" w:hAnsi="Calibri"/>
                <w:color w:val="000000"/>
                <w:sz w:val="22"/>
              </w:rPr>
              <w:t>2.502,95</w:t>
            </w:r>
          </w:p>
        </w:tc>
        <w:tc>
          <w:tcPr>
            <w:tcW w:w="1307" w:type="dxa"/>
            <w:gridSpan w:val="2"/>
            <w:tcBorders>
              <w:top w:val="nil"/>
              <w:left w:val="nil"/>
              <w:bottom w:val="single" w:sz="4" w:space="0" w:color="auto"/>
              <w:right w:val="nil"/>
            </w:tcBorders>
            <w:shd w:val="clear" w:color="auto" w:fill="auto"/>
            <w:noWrap/>
            <w:vAlign w:val="center"/>
            <w:hideMark/>
          </w:tcPr>
          <w:p w:rsidR="00645EB3" w:rsidRDefault="00645EB3" w:rsidP="00645EB3">
            <w:pPr>
              <w:jc w:val="center"/>
              <w:rPr>
                <w:rFonts w:ascii="Calibri" w:hAnsi="Calibri"/>
                <w:color w:val="000000"/>
                <w:sz w:val="22"/>
              </w:rPr>
            </w:pPr>
            <w:r>
              <w:rPr>
                <w:rFonts w:ascii="Calibri" w:hAnsi="Calibri"/>
                <w:color w:val="000000"/>
                <w:sz w:val="22"/>
              </w:rPr>
              <w:t>499,84</w:t>
            </w:r>
          </w:p>
        </w:tc>
        <w:tc>
          <w:tcPr>
            <w:tcW w:w="1168" w:type="dxa"/>
            <w:gridSpan w:val="2"/>
            <w:tcBorders>
              <w:top w:val="nil"/>
              <w:left w:val="nil"/>
              <w:bottom w:val="single" w:sz="4" w:space="0" w:color="auto"/>
              <w:right w:val="nil"/>
            </w:tcBorders>
            <w:shd w:val="clear" w:color="auto" w:fill="auto"/>
            <w:noWrap/>
            <w:vAlign w:val="center"/>
            <w:hideMark/>
          </w:tcPr>
          <w:p w:rsidR="00645EB3" w:rsidRDefault="00645EB3" w:rsidP="00645EB3">
            <w:pPr>
              <w:jc w:val="center"/>
              <w:rPr>
                <w:rFonts w:ascii="Calibri" w:hAnsi="Calibri"/>
                <w:color w:val="000000"/>
                <w:sz w:val="22"/>
              </w:rPr>
            </w:pPr>
            <w:r>
              <w:rPr>
                <w:rFonts w:ascii="Calibri" w:hAnsi="Calibri"/>
                <w:color w:val="000000"/>
                <w:sz w:val="22"/>
              </w:rPr>
              <w:t>3.830,69</w:t>
            </w:r>
          </w:p>
        </w:tc>
        <w:tc>
          <w:tcPr>
            <w:tcW w:w="1291" w:type="dxa"/>
            <w:tcBorders>
              <w:top w:val="nil"/>
              <w:left w:val="nil"/>
              <w:bottom w:val="single" w:sz="4" w:space="0" w:color="auto"/>
              <w:right w:val="nil"/>
            </w:tcBorders>
            <w:shd w:val="clear" w:color="auto" w:fill="auto"/>
            <w:noWrap/>
            <w:vAlign w:val="center"/>
            <w:hideMark/>
          </w:tcPr>
          <w:p w:rsidR="00645EB3" w:rsidRDefault="00645EB3" w:rsidP="00645EB3">
            <w:pPr>
              <w:jc w:val="center"/>
              <w:rPr>
                <w:rFonts w:ascii="Calibri" w:hAnsi="Calibri"/>
                <w:color w:val="000000"/>
                <w:sz w:val="22"/>
              </w:rPr>
            </w:pPr>
            <w:r>
              <w:rPr>
                <w:rFonts w:ascii="Calibri" w:hAnsi="Calibri"/>
                <w:color w:val="000000"/>
                <w:sz w:val="22"/>
              </w:rPr>
              <w:t>30.649,56</w:t>
            </w:r>
          </w:p>
        </w:tc>
        <w:tc>
          <w:tcPr>
            <w:tcW w:w="1373" w:type="dxa"/>
            <w:tcBorders>
              <w:top w:val="nil"/>
              <w:left w:val="nil"/>
              <w:bottom w:val="single" w:sz="4" w:space="0" w:color="auto"/>
              <w:right w:val="nil"/>
            </w:tcBorders>
            <w:shd w:val="clear" w:color="auto" w:fill="auto"/>
            <w:noWrap/>
            <w:vAlign w:val="center"/>
            <w:hideMark/>
          </w:tcPr>
          <w:p w:rsidR="00645EB3" w:rsidRDefault="00645EB3" w:rsidP="00645EB3">
            <w:pPr>
              <w:jc w:val="center"/>
              <w:rPr>
                <w:rFonts w:ascii="Calibri" w:hAnsi="Calibri"/>
                <w:color w:val="000000"/>
                <w:sz w:val="22"/>
              </w:rPr>
            </w:pPr>
            <w:r>
              <w:rPr>
                <w:rFonts w:ascii="Calibri" w:hAnsi="Calibri"/>
                <w:color w:val="000000"/>
                <w:sz w:val="22"/>
              </w:rPr>
              <w:t>599,91</w:t>
            </w:r>
          </w:p>
        </w:tc>
        <w:tc>
          <w:tcPr>
            <w:tcW w:w="1394" w:type="dxa"/>
            <w:tcBorders>
              <w:top w:val="nil"/>
              <w:left w:val="nil"/>
              <w:bottom w:val="single" w:sz="4" w:space="0" w:color="auto"/>
              <w:right w:val="nil"/>
            </w:tcBorders>
            <w:shd w:val="clear" w:color="auto" w:fill="auto"/>
            <w:noWrap/>
            <w:vAlign w:val="center"/>
            <w:hideMark/>
          </w:tcPr>
          <w:p w:rsidR="00645EB3" w:rsidRPr="00645EB3" w:rsidRDefault="00645EB3" w:rsidP="00645EB3">
            <w:pPr>
              <w:jc w:val="center"/>
              <w:rPr>
                <w:rFonts w:ascii="Calibri" w:hAnsi="Calibri"/>
                <w:color w:val="FF0000"/>
                <w:sz w:val="22"/>
              </w:rPr>
            </w:pPr>
            <w:r w:rsidRPr="00645EB3">
              <w:rPr>
                <w:rFonts w:ascii="Calibri" w:hAnsi="Calibri"/>
                <w:color w:val="FF0000"/>
                <w:sz w:val="22"/>
              </w:rPr>
              <w:t>-568,33</w:t>
            </w:r>
          </w:p>
        </w:tc>
      </w:tr>
      <w:tr w:rsidR="00645EB3" w:rsidRPr="008328EC" w:rsidTr="00F80B3E">
        <w:trPr>
          <w:trHeight w:val="300"/>
        </w:trPr>
        <w:tc>
          <w:tcPr>
            <w:tcW w:w="529" w:type="dxa"/>
            <w:tcBorders>
              <w:top w:val="nil"/>
              <w:left w:val="nil"/>
              <w:bottom w:val="single" w:sz="4" w:space="0" w:color="auto"/>
              <w:right w:val="nil"/>
            </w:tcBorders>
            <w:shd w:val="clear" w:color="auto" w:fill="auto"/>
            <w:noWrap/>
            <w:vAlign w:val="center"/>
            <w:hideMark/>
          </w:tcPr>
          <w:p w:rsidR="00645EB3" w:rsidRPr="008328EC" w:rsidRDefault="00645EB3" w:rsidP="00645EB3">
            <w:pPr>
              <w:spacing w:after="0" w:line="240" w:lineRule="auto"/>
              <w:contextualSpacing w:val="0"/>
              <w:jc w:val="center"/>
              <w:rPr>
                <w:rFonts w:ascii="Calibri" w:eastAsia="Times New Roman" w:hAnsi="Calibri" w:cs="Times New Roman"/>
                <w:color w:val="000000"/>
                <w:sz w:val="22"/>
                <w:lang w:eastAsia="pt-BR"/>
              </w:rPr>
            </w:pPr>
            <w:r w:rsidRPr="008328EC">
              <w:rPr>
                <w:rFonts w:ascii="Calibri" w:eastAsia="Times New Roman" w:hAnsi="Calibri" w:cs="Times New Roman"/>
                <w:color w:val="000000"/>
                <w:sz w:val="22"/>
                <w:lang w:eastAsia="pt-BR"/>
              </w:rPr>
              <w:t>20</w:t>
            </w:r>
          </w:p>
        </w:tc>
        <w:tc>
          <w:tcPr>
            <w:tcW w:w="1096" w:type="dxa"/>
            <w:tcBorders>
              <w:top w:val="nil"/>
              <w:left w:val="nil"/>
              <w:bottom w:val="single" w:sz="4" w:space="0" w:color="auto"/>
              <w:right w:val="nil"/>
            </w:tcBorders>
            <w:shd w:val="clear" w:color="auto" w:fill="auto"/>
            <w:noWrap/>
            <w:vAlign w:val="center"/>
            <w:hideMark/>
          </w:tcPr>
          <w:p w:rsidR="00645EB3" w:rsidRDefault="00645EB3" w:rsidP="00645EB3">
            <w:pPr>
              <w:jc w:val="center"/>
              <w:rPr>
                <w:rFonts w:ascii="Calibri" w:hAnsi="Calibri"/>
                <w:color w:val="000000"/>
                <w:sz w:val="22"/>
              </w:rPr>
            </w:pPr>
            <w:r>
              <w:rPr>
                <w:rFonts w:ascii="Calibri" w:hAnsi="Calibri"/>
                <w:color w:val="000000"/>
                <w:sz w:val="22"/>
              </w:rPr>
              <w:t>7.161,49</w:t>
            </w:r>
          </w:p>
        </w:tc>
        <w:tc>
          <w:tcPr>
            <w:tcW w:w="1174" w:type="dxa"/>
            <w:gridSpan w:val="2"/>
            <w:tcBorders>
              <w:top w:val="nil"/>
              <w:left w:val="nil"/>
              <w:bottom w:val="single" w:sz="4" w:space="0" w:color="auto"/>
              <w:right w:val="nil"/>
            </w:tcBorders>
            <w:shd w:val="clear" w:color="auto" w:fill="auto"/>
            <w:noWrap/>
            <w:vAlign w:val="center"/>
            <w:hideMark/>
          </w:tcPr>
          <w:p w:rsidR="00645EB3" w:rsidRDefault="00645EB3" w:rsidP="00645EB3">
            <w:pPr>
              <w:jc w:val="center"/>
              <w:rPr>
                <w:rFonts w:ascii="Calibri" w:hAnsi="Calibri"/>
                <w:color w:val="000000"/>
                <w:sz w:val="22"/>
              </w:rPr>
            </w:pPr>
            <w:r>
              <w:rPr>
                <w:rFonts w:ascii="Calibri" w:hAnsi="Calibri"/>
                <w:color w:val="000000"/>
                <w:sz w:val="22"/>
              </w:rPr>
              <w:t>2.634,36</w:t>
            </w:r>
          </w:p>
        </w:tc>
        <w:tc>
          <w:tcPr>
            <w:tcW w:w="1307" w:type="dxa"/>
            <w:gridSpan w:val="2"/>
            <w:tcBorders>
              <w:top w:val="nil"/>
              <w:left w:val="nil"/>
              <w:bottom w:val="single" w:sz="4" w:space="0" w:color="auto"/>
              <w:right w:val="nil"/>
            </w:tcBorders>
            <w:shd w:val="clear" w:color="auto" w:fill="auto"/>
            <w:noWrap/>
            <w:vAlign w:val="center"/>
            <w:hideMark/>
          </w:tcPr>
          <w:p w:rsidR="00645EB3" w:rsidRDefault="00645EB3" w:rsidP="00645EB3">
            <w:pPr>
              <w:jc w:val="center"/>
              <w:rPr>
                <w:rFonts w:ascii="Calibri" w:hAnsi="Calibri"/>
                <w:color w:val="000000"/>
                <w:sz w:val="22"/>
              </w:rPr>
            </w:pPr>
            <w:r>
              <w:rPr>
                <w:rFonts w:ascii="Calibri" w:hAnsi="Calibri"/>
                <w:color w:val="000000"/>
                <w:sz w:val="22"/>
              </w:rPr>
              <w:t>526,08</w:t>
            </w:r>
          </w:p>
        </w:tc>
        <w:tc>
          <w:tcPr>
            <w:tcW w:w="1168" w:type="dxa"/>
            <w:gridSpan w:val="2"/>
            <w:tcBorders>
              <w:top w:val="nil"/>
              <w:left w:val="nil"/>
              <w:bottom w:val="single" w:sz="4" w:space="0" w:color="auto"/>
              <w:right w:val="nil"/>
            </w:tcBorders>
            <w:shd w:val="clear" w:color="auto" w:fill="auto"/>
            <w:noWrap/>
            <w:vAlign w:val="center"/>
            <w:hideMark/>
          </w:tcPr>
          <w:p w:rsidR="00645EB3" w:rsidRDefault="00645EB3" w:rsidP="00645EB3">
            <w:pPr>
              <w:jc w:val="center"/>
              <w:rPr>
                <w:rFonts w:ascii="Calibri" w:hAnsi="Calibri"/>
                <w:color w:val="000000"/>
                <w:sz w:val="22"/>
              </w:rPr>
            </w:pPr>
            <w:r>
              <w:rPr>
                <w:rFonts w:ascii="Calibri" w:hAnsi="Calibri"/>
                <w:color w:val="000000"/>
                <w:sz w:val="22"/>
              </w:rPr>
              <w:t>4.001,06</w:t>
            </w:r>
          </w:p>
        </w:tc>
        <w:tc>
          <w:tcPr>
            <w:tcW w:w="1291" w:type="dxa"/>
            <w:tcBorders>
              <w:top w:val="nil"/>
              <w:left w:val="nil"/>
              <w:bottom w:val="single" w:sz="4" w:space="0" w:color="auto"/>
              <w:right w:val="nil"/>
            </w:tcBorders>
            <w:shd w:val="clear" w:color="auto" w:fill="auto"/>
            <w:noWrap/>
            <w:vAlign w:val="center"/>
            <w:hideMark/>
          </w:tcPr>
          <w:p w:rsidR="00645EB3" w:rsidRDefault="00645EB3" w:rsidP="00645EB3">
            <w:pPr>
              <w:jc w:val="center"/>
              <w:rPr>
                <w:rFonts w:ascii="Calibri" w:hAnsi="Calibri"/>
                <w:color w:val="000000"/>
                <w:sz w:val="22"/>
              </w:rPr>
            </w:pPr>
            <w:r>
              <w:rPr>
                <w:rFonts w:ascii="Calibri" w:hAnsi="Calibri"/>
                <w:color w:val="000000"/>
                <w:sz w:val="22"/>
              </w:rPr>
              <w:t>34.650,61</w:t>
            </w:r>
          </w:p>
        </w:tc>
        <w:tc>
          <w:tcPr>
            <w:tcW w:w="1373" w:type="dxa"/>
            <w:tcBorders>
              <w:top w:val="nil"/>
              <w:left w:val="nil"/>
              <w:bottom w:val="single" w:sz="4" w:space="0" w:color="auto"/>
              <w:right w:val="nil"/>
            </w:tcBorders>
            <w:shd w:val="clear" w:color="auto" w:fill="auto"/>
            <w:noWrap/>
            <w:vAlign w:val="center"/>
            <w:hideMark/>
          </w:tcPr>
          <w:p w:rsidR="00645EB3" w:rsidRDefault="00645EB3" w:rsidP="00645EB3">
            <w:pPr>
              <w:jc w:val="center"/>
              <w:rPr>
                <w:rFonts w:ascii="Calibri" w:hAnsi="Calibri"/>
                <w:color w:val="000000"/>
                <w:sz w:val="22"/>
              </w:rPr>
            </w:pPr>
            <w:r>
              <w:rPr>
                <w:rFonts w:ascii="Calibri" w:hAnsi="Calibri"/>
                <w:color w:val="000000"/>
                <w:sz w:val="22"/>
              </w:rPr>
              <w:t>568,33</w:t>
            </w:r>
          </w:p>
        </w:tc>
        <w:tc>
          <w:tcPr>
            <w:tcW w:w="1394" w:type="dxa"/>
            <w:tcBorders>
              <w:top w:val="nil"/>
              <w:left w:val="nil"/>
              <w:bottom w:val="single" w:sz="4" w:space="0" w:color="auto"/>
              <w:right w:val="nil"/>
            </w:tcBorders>
            <w:shd w:val="clear" w:color="auto" w:fill="auto"/>
            <w:noWrap/>
            <w:vAlign w:val="center"/>
            <w:hideMark/>
          </w:tcPr>
          <w:p w:rsidR="00645EB3" w:rsidRPr="00645EB3" w:rsidRDefault="00645EB3" w:rsidP="00645EB3">
            <w:pPr>
              <w:jc w:val="center"/>
              <w:rPr>
                <w:rFonts w:ascii="Calibri" w:hAnsi="Calibri"/>
                <w:color w:val="FF0000"/>
                <w:sz w:val="22"/>
              </w:rPr>
            </w:pPr>
            <w:r w:rsidRPr="00645EB3">
              <w:rPr>
                <w:rFonts w:ascii="Calibri" w:hAnsi="Calibri"/>
                <w:color w:val="FF0000"/>
                <w:sz w:val="22"/>
              </w:rPr>
              <w:t>0,00</w:t>
            </w:r>
          </w:p>
        </w:tc>
      </w:tr>
      <w:tr w:rsidR="009C4423" w:rsidRPr="00BD1632" w:rsidTr="00F80B3E">
        <w:trPr>
          <w:trHeight w:val="499"/>
        </w:trPr>
        <w:tc>
          <w:tcPr>
            <w:tcW w:w="2078" w:type="dxa"/>
            <w:gridSpan w:val="3"/>
            <w:tcBorders>
              <w:top w:val="nil"/>
              <w:left w:val="nil"/>
              <w:bottom w:val="single" w:sz="4" w:space="0" w:color="auto"/>
              <w:right w:val="nil"/>
            </w:tcBorders>
            <w:shd w:val="clear" w:color="auto" w:fill="auto"/>
            <w:vAlign w:val="center"/>
            <w:hideMark/>
          </w:tcPr>
          <w:p w:rsidR="009C4423" w:rsidRPr="00BD1632" w:rsidRDefault="009C4423" w:rsidP="009C4423">
            <w:pPr>
              <w:spacing w:after="0" w:line="240" w:lineRule="auto"/>
              <w:contextualSpacing w:val="0"/>
              <w:jc w:val="center"/>
              <w:rPr>
                <w:rFonts w:eastAsia="Times New Roman" w:cs="Arial"/>
                <w:b/>
                <w:i/>
                <w:color w:val="000000"/>
                <w:lang w:eastAsia="pt-BR"/>
              </w:rPr>
            </w:pPr>
            <w:r w:rsidRPr="00BD1632">
              <w:rPr>
                <w:rFonts w:eastAsia="Times New Roman" w:cs="Arial"/>
                <w:b/>
                <w:i/>
                <w:color w:val="000000"/>
                <w:lang w:eastAsia="pt-BR"/>
              </w:rPr>
              <w:t>V</w:t>
            </w:r>
            <w:r w:rsidRPr="008328EC">
              <w:rPr>
                <w:rFonts w:eastAsia="Times New Roman" w:cs="Arial"/>
                <w:b/>
                <w:i/>
                <w:color w:val="000000"/>
                <w:lang w:eastAsia="pt-BR"/>
              </w:rPr>
              <w:t>PL</w:t>
            </w:r>
          </w:p>
        </w:tc>
        <w:tc>
          <w:tcPr>
            <w:tcW w:w="1598" w:type="dxa"/>
            <w:gridSpan w:val="2"/>
            <w:tcBorders>
              <w:top w:val="nil"/>
              <w:left w:val="nil"/>
              <w:bottom w:val="single" w:sz="4" w:space="0" w:color="auto"/>
              <w:right w:val="nil"/>
            </w:tcBorders>
            <w:shd w:val="clear" w:color="auto" w:fill="auto"/>
            <w:vAlign w:val="center"/>
          </w:tcPr>
          <w:p w:rsidR="009C4423" w:rsidRPr="00BD1632" w:rsidRDefault="009C4423" w:rsidP="009C4423">
            <w:pPr>
              <w:spacing w:after="0" w:line="240" w:lineRule="auto"/>
              <w:contextualSpacing w:val="0"/>
              <w:jc w:val="center"/>
              <w:rPr>
                <w:rFonts w:eastAsia="Times New Roman" w:cs="Arial"/>
                <w:b/>
                <w:i/>
                <w:color w:val="000000"/>
                <w:lang w:eastAsia="pt-BR"/>
              </w:rPr>
            </w:pPr>
            <w:r w:rsidRPr="008328EC">
              <w:rPr>
                <w:rFonts w:eastAsia="Times New Roman" w:cs="Arial"/>
                <w:b/>
                <w:i/>
                <w:color w:val="000000"/>
                <w:lang w:eastAsia="pt-BR"/>
              </w:rPr>
              <w:t xml:space="preserve">R$ </w:t>
            </w:r>
            <w:r>
              <w:rPr>
                <w:rFonts w:eastAsia="Times New Roman" w:cs="Arial"/>
                <w:b/>
                <w:i/>
                <w:color w:val="000000"/>
                <w:lang w:eastAsia="pt-BR"/>
              </w:rPr>
              <w:t>0,00</w:t>
            </w:r>
          </w:p>
        </w:tc>
        <w:tc>
          <w:tcPr>
            <w:tcW w:w="1444" w:type="dxa"/>
            <w:gridSpan w:val="2"/>
            <w:tcBorders>
              <w:top w:val="nil"/>
              <w:left w:val="nil"/>
              <w:bottom w:val="single" w:sz="4" w:space="0" w:color="auto"/>
              <w:right w:val="nil"/>
            </w:tcBorders>
            <w:shd w:val="clear" w:color="auto" w:fill="auto"/>
            <w:vAlign w:val="center"/>
          </w:tcPr>
          <w:p w:rsidR="009C4423" w:rsidRPr="00BD1632" w:rsidRDefault="009C4423" w:rsidP="009C4423">
            <w:pPr>
              <w:spacing w:after="0" w:line="240" w:lineRule="auto"/>
              <w:contextualSpacing w:val="0"/>
              <w:jc w:val="center"/>
              <w:rPr>
                <w:rFonts w:eastAsia="Times New Roman" w:cs="Arial"/>
                <w:b/>
                <w:i/>
                <w:color w:val="000000"/>
                <w:lang w:eastAsia="pt-BR"/>
              </w:rPr>
            </w:pPr>
          </w:p>
        </w:tc>
        <w:tc>
          <w:tcPr>
            <w:tcW w:w="2818" w:type="dxa"/>
            <w:gridSpan w:val="3"/>
            <w:tcBorders>
              <w:top w:val="nil"/>
              <w:left w:val="nil"/>
              <w:bottom w:val="single" w:sz="4" w:space="0" w:color="auto"/>
              <w:right w:val="nil"/>
            </w:tcBorders>
            <w:shd w:val="clear" w:color="auto" w:fill="auto"/>
            <w:vAlign w:val="center"/>
          </w:tcPr>
          <w:p w:rsidR="009C4423" w:rsidRPr="00BD1632" w:rsidRDefault="009C4423" w:rsidP="009C4423">
            <w:pPr>
              <w:spacing w:after="0" w:line="240" w:lineRule="auto"/>
              <w:contextualSpacing w:val="0"/>
              <w:jc w:val="center"/>
              <w:rPr>
                <w:rFonts w:eastAsia="Times New Roman" w:cs="Arial"/>
                <w:b/>
                <w:i/>
                <w:color w:val="000000"/>
                <w:lang w:eastAsia="pt-BR"/>
              </w:rPr>
            </w:pPr>
            <w:r>
              <w:rPr>
                <w:rFonts w:eastAsia="Times New Roman" w:cs="Arial"/>
                <w:b/>
                <w:i/>
                <w:color w:val="000000"/>
                <w:lang w:eastAsia="pt-BR"/>
              </w:rPr>
              <w:t>TIR</w:t>
            </w:r>
          </w:p>
        </w:tc>
        <w:tc>
          <w:tcPr>
            <w:tcW w:w="1394" w:type="dxa"/>
            <w:tcBorders>
              <w:top w:val="nil"/>
              <w:left w:val="nil"/>
              <w:bottom w:val="single" w:sz="4" w:space="0" w:color="auto"/>
              <w:right w:val="nil"/>
            </w:tcBorders>
            <w:shd w:val="clear" w:color="auto" w:fill="auto"/>
            <w:noWrap/>
            <w:vAlign w:val="center"/>
          </w:tcPr>
          <w:p w:rsidR="009C4423" w:rsidRPr="008328EC" w:rsidRDefault="009C4423" w:rsidP="009C4423">
            <w:pPr>
              <w:spacing w:after="0" w:line="240" w:lineRule="auto"/>
              <w:contextualSpacing w:val="0"/>
              <w:jc w:val="center"/>
              <w:rPr>
                <w:rFonts w:eastAsia="Times New Roman" w:cs="Arial"/>
                <w:b/>
                <w:i/>
                <w:color w:val="000000"/>
                <w:lang w:eastAsia="pt-BR"/>
              </w:rPr>
            </w:pPr>
            <w:r>
              <w:rPr>
                <w:rFonts w:eastAsia="Times New Roman" w:cs="Arial"/>
                <w:b/>
                <w:i/>
                <w:color w:val="000000"/>
                <w:lang w:eastAsia="pt-BR"/>
              </w:rPr>
              <w:t>10</w:t>
            </w:r>
            <w:r w:rsidRPr="008328EC">
              <w:rPr>
                <w:rFonts w:eastAsia="Times New Roman" w:cs="Arial"/>
                <w:b/>
                <w:i/>
                <w:color w:val="000000"/>
                <w:lang w:eastAsia="pt-BR"/>
              </w:rPr>
              <w:t>,25%</w:t>
            </w:r>
          </w:p>
        </w:tc>
      </w:tr>
    </w:tbl>
    <w:p w:rsidR="009C4423" w:rsidRDefault="00A017BA" w:rsidP="00A017BA">
      <w:pPr>
        <w:jc w:val="center"/>
      </w:pPr>
      <w:r>
        <w:t>Fonte: Autoria própria</w:t>
      </w:r>
    </w:p>
    <w:p w:rsidR="00125FF0" w:rsidRDefault="009C4423" w:rsidP="00E15B63">
      <w:r>
        <w:t xml:space="preserve">O resultado encontrado para o custo anual máximo com polímero no primeiro ano foi de R$ 996,45, cerca de 8 vezes o custo </w:t>
      </w:r>
      <w:r w:rsidR="008E06BA">
        <w:t xml:space="preserve">mensurado </w:t>
      </w:r>
      <w:r>
        <w:t>(</w:t>
      </w:r>
      <w:r w:rsidRPr="009C4423">
        <w:fldChar w:fldCharType="begin"/>
      </w:r>
      <w:r w:rsidRPr="009C4423">
        <w:instrText xml:space="preserve"> REF _Ref488283844 \h  \* MERGEFORMAT </w:instrText>
      </w:r>
      <w:r w:rsidRPr="009C4423">
        <w:fldChar w:fldCharType="separate"/>
      </w:r>
      <w:r w:rsidRPr="009C4423">
        <w:t>Tabela 12</w:t>
      </w:r>
      <w:r w:rsidRPr="009C4423">
        <w:fldChar w:fldCharType="end"/>
      </w:r>
      <w:r>
        <w:t>)</w:t>
      </w:r>
      <w:r w:rsidR="008E06BA">
        <w:t>.</w:t>
      </w:r>
      <w:r w:rsidR="00E15B63">
        <w:t xml:space="preserve"> Esta variação significa</w:t>
      </w:r>
      <w:r w:rsidR="008E06BA">
        <w:t xml:space="preserve"> um aumento do preço da Goma</w:t>
      </w:r>
      <w:r w:rsidR="00125FF0">
        <w:t xml:space="preserve"> Gua</w:t>
      </w:r>
      <w:r w:rsidR="008E06BA">
        <w:t>r de US$ 4,97</w:t>
      </w:r>
      <w:r w:rsidR="00165792">
        <w:t>/kg</w:t>
      </w:r>
      <w:r w:rsidR="008E06BA">
        <w:t xml:space="preserve"> para US$ 42,80</w:t>
      </w:r>
      <w:r w:rsidR="00165792">
        <w:t>/kg</w:t>
      </w:r>
      <w:r w:rsidR="00E15B63">
        <w:t xml:space="preserve">, valor 42,8% acima do maior preço histórico </w:t>
      </w:r>
      <w:r w:rsidR="003E11B7">
        <w:t xml:space="preserve">já ofertado </w:t>
      </w:r>
      <w:r w:rsidR="00E15B63">
        <w:t>para este aditivo</w:t>
      </w:r>
      <w:r w:rsidR="008E06BA">
        <w:t>.</w:t>
      </w:r>
    </w:p>
    <w:p w:rsidR="00B57856" w:rsidRDefault="00B57856" w:rsidP="00E15B63"/>
    <w:p w:rsidR="00B57856" w:rsidRDefault="00B57856" w:rsidP="00E15B63"/>
    <w:p w:rsidR="00B57856" w:rsidRDefault="00B57856" w:rsidP="00E15B63"/>
    <w:p w:rsidR="00B57856" w:rsidRDefault="00B57856" w:rsidP="00E15B63"/>
    <w:p w:rsidR="00B57856" w:rsidRDefault="00B57856" w:rsidP="00E15B63"/>
    <w:p w:rsidR="00B57856" w:rsidRDefault="00B57856" w:rsidP="00E15B63"/>
    <w:p w:rsidR="00B57856" w:rsidRDefault="00B57856" w:rsidP="00E15B63"/>
    <w:p w:rsidR="00B57856" w:rsidRDefault="00B57856" w:rsidP="00E15B63"/>
    <w:p w:rsidR="00B57856" w:rsidRDefault="00B57856" w:rsidP="00E15B63"/>
    <w:p w:rsidR="00B57856" w:rsidRDefault="00B57856" w:rsidP="00E15B63"/>
    <w:p w:rsidR="00B57856" w:rsidRDefault="00B57856" w:rsidP="00E15B63"/>
    <w:p w:rsidR="00B57856" w:rsidRPr="006B3ECB" w:rsidRDefault="00B57856" w:rsidP="00E15B63"/>
    <w:p w:rsidR="00B57856" w:rsidRDefault="00B57856" w:rsidP="0041731E">
      <w:pPr>
        <w:pStyle w:val="Nvel1-PG"/>
      </w:pPr>
    </w:p>
    <w:p w:rsidR="00B57856" w:rsidRDefault="00B57856" w:rsidP="0041731E">
      <w:pPr>
        <w:pStyle w:val="Nvel1-PG"/>
      </w:pPr>
    </w:p>
    <w:p w:rsidR="006B3ECB" w:rsidRPr="00370D56" w:rsidRDefault="00441195" w:rsidP="0041731E">
      <w:pPr>
        <w:pStyle w:val="Nvel1-PG"/>
      </w:pPr>
      <w:bookmarkStart w:id="209" w:name="_Toc488678389"/>
      <w:r w:rsidRPr="00370D56">
        <w:lastRenderedPageBreak/>
        <w:t>6. CONSIDERAÇÕES FINAIS</w:t>
      </w:r>
      <w:bookmarkEnd w:id="209"/>
    </w:p>
    <w:p w:rsidR="008F1B88" w:rsidRDefault="008F1B88" w:rsidP="0005790E">
      <w:r>
        <w:t xml:space="preserve">Este trabalho é fruto de uma abordagem experimental que </w:t>
      </w:r>
      <w:r w:rsidR="003038C8">
        <w:t>objetivou</w:t>
      </w:r>
      <w:r>
        <w:t xml:space="preserve"> a análise da economia de energia alcançada pelos polímeros rígidos (Goma Guar), flexíveis (PEO) e suas misturas (</w:t>
      </w:r>
      <w:r w:rsidRPr="008F1B88">
        <w:rPr>
          <w:i/>
        </w:rPr>
        <w:t>blends</w:t>
      </w:r>
      <w:r>
        <w:t xml:space="preserve">) em soluções de concentração igual a 50, 100 e 200 ppm </w:t>
      </w:r>
      <w:r w:rsidR="00580230">
        <w:t>em</w:t>
      </w:r>
      <w:r>
        <w:t xml:space="preserve"> escoamentos de </w:t>
      </w:r>
      <m:oMath>
        <m:r>
          <w:rPr>
            <w:rFonts w:ascii="Cambria Math" w:hAnsi="Cambria Math"/>
          </w:rPr>
          <m:t>Re</m:t>
        </m:r>
      </m:oMath>
      <w:r>
        <w:rPr>
          <w:rFonts w:eastAsiaTheme="minorEastAsia"/>
        </w:rPr>
        <w:t xml:space="preserve"> </w:t>
      </w:r>
      <w:r>
        <w:t>igual a 34000 e 68000, comparando os comportamentos de fator de atrito (</w:t>
      </w:r>
      <m:oMath>
        <m:r>
          <w:rPr>
            <w:rFonts w:ascii="Cambria Math" w:eastAsiaTheme="minorEastAsia" w:hAnsi="Cambria Math"/>
          </w:rPr>
          <m:t>f</m:t>
        </m:r>
      </m:oMath>
      <w:r>
        <w:t>), redução de arraste (</w:t>
      </w:r>
      <m:oMath>
        <m:r>
          <w:rPr>
            <w:rFonts w:ascii="Cambria Math" w:hAnsi="Cambria Math"/>
          </w:rPr>
          <m:t>DR%</m:t>
        </m:r>
      </m:oMath>
      <w:r>
        <w:t>)</w:t>
      </w:r>
      <w:r w:rsidR="003038C8">
        <w:t xml:space="preserve"> e potência ativa ao longo do tempo</w:t>
      </w:r>
      <w:r w:rsidR="00741E22">
        <w:t xml:space="preserve">. A temperatura de teste foi cuidadosamente fixada a 20°C e </w:t>
      </w:r>
      <w:r w:rsidR="001E03D0">
        <w:t xml:space="preserve">buscou-se respeitar o </w:t>
      </w:r>
      <w:r w:rsidR="003038C8">
        <w:t>tempo necessário para a dil</w:t>
      </w:r>
      <w:r w:rsidR="001B08C8">
        <w:t xml:space="preserve">uição do polímero no solvente </w:t>
      </w:r>
      <w:r w:rsidR="001E03D0">
        <w:t xml:space="preserve">para </w:t>
      </w:r>
      <w:r w:rsidR="003038C8">
        <w:t>os experimentos.</w:t>
      </w:r>
    </w:p>
    <w:p w:rsidR="00172506" w:rsidRPr="00172506" w:rsidRDefault="003038C8" w:rsidP="0005790E">
      <w:pPr>
        <w:rPr>
          <w:rFonts w:eastAsiaTheme="minorEastAsia"/>
        </w:rPr>
      </w:pPr>
      <w:r>
        <w:t>Os resultados demonstram que o</w:t>
      </w:r>
      <w:r w:rsidR="008F1B88" w:rsidRPr="008F1B88">
        <w:t xml:space="preserve"> </w:t>
      </w:r>
      <w:r w:rsidR="008F1B88">
        <w:t xml:space="preserve">fenômeno de redução de arraste </w:t>
      </w:r>
      <w:r w:rsidR="00580230">
        <w:t xml:space="preserve">ocorre </w:t>
      </w:r>
      <w:r w:rsidR="008F1B88">
        <w:t xml:space="preserve">em </w:t>
      </w:r>
      <w:r w:rsidR="00540820">
        <w:t>todos os ensaios com aditivos</w:t>
      </w:r>
      <w:r w:rsidR="002E5264">
        <w:t xml:space="preserve">. </w:t>
      </w:r>
      <w:r w:rsidR="0062360D">
        <w:t>A</w:t>
      </w:r>
      <w:r w:rsidR="002E5264">
        <w:t>s soluções</w:t>
      </w:r>
      <w:r w:rsidR="00A4276A">
        <w:t xml:space="preserve"> de</w:t>
      </w:r>
      <w:r w:rsidR="002E5264">
        <w:t xml:space="preserve"> PEO se mostraram melhores </w:t>
      </w:r>
      <w:r w:rsidR="00A4276A">
        <w:t>durante os instantes iniciais dos</w:t>
      </w:r>
      <w:r w:rsidR="002E5264">
        <w:t xml:space="preserve"> experimentos, onde os resultados de redução de arraste (</w:t>
      </w:r>
      <m:oMath>
        <m:r>
          <w:rPr>
            <w:rFonts w:ascii="Cambria Math" w:hAnsi="Cambria Math"/>
          </w:rPr>
          <m:t>DR%</m:t>
        </m:r>
      </m:oMath>
      <w:r w:rsidR="002E5264">
        <w:t>) chegaram a cerca de 60%, porém</w:t>
      </w:r>
      <w:r w:rsidR="00A4276A">
        <w:t>,</w:t>
      </w:r>
      <w:r w:rsidR="00A4276A" w:rsidRPr="00A4276A">
        <w:rPr>
          <w:rFonts w:eastAsiaTheme="minorEastAsia"/>
        </w:rPr>
        <w:t xml:space="preserve"> </w:t>
      </w:r>
      <w:r w:rsidR="00A4276A">
        <w:rPr>
          <w:rFonts w:eastAsiaTheme="minorEastAsia"/>
        </w:rPr>
        <w:t>devido ao caráter flexível do polímero</w:t>
      </w:r>
      <w:r w:rsidR="002E5264">
        <w:t xml:space="preserve"> a degradação mecânica ocasiona uma queda considerável dest</w:t>
      </w:r>
      <w:r w:rsidR="0062360D">
        <w:t xml:space="preserve">e potencial </w:t>
      </w:r>
      <w:r w:rsidR="0062360D">
        <w:rPr>
          <w:rFonts w:eastAsiaTheme="minorEastAsia"/>
        </w:rPr>
        <w:t xml:space="preserve">até um valor de </w:t>
      </w:r>
      <m:oMath>
        <m:r>
          <w:rPr>
            <w:rFonts w:ascii="Cambria Math" w:hAnsi="Cambria Math"/>
          </w:rPr>
          <m:t>DR%</m:t>
        </m:r>
      </m:oMath>
      <w:r w:rsidR="0062360D">
        <w:rPr>
          <w:rFonts w:eastAsiaTheme="minorEastAsia"/>
        </w:rPr>
        <w:t xml:space="preserve"> </w:t>
      </w:r>
      <w:r w:rsidR="00A4276A">
        <w:rPr>
          <w:rFonts w:eastAsiaTheme="minorEastAsia"/>
        </w:rPr>
        <w:t xml:space="preserve">mínimo </w:t>
      </w:r>
      <w:r w:rsidR="0062360D">
        <w:rPr>
          <w:rFonts w:eastAsiaTheme="minorEastAsia"/>
        </w:rPr>
        <w:t>assintótico muito menor</w:t>
      </w:r>
      <w:r w:rsidR="00A4276A">
        <w:rPr>
          <w:rFonts w:eastAsiaTheme="minorEastAsia"/>
        </w:rPr>
        <w:t xml:space="preserve"> que a redução inicial</w:t>
      </w:r>
      <w:r w:rsidR="0062360D">
        <w:t xml:space="preserve">. Logo, para </w:t>
      </w:r>
      <w:r w:rsidR="00A4276A">
        <w:t>aplicações de longa duração</w:t>
      </w:r>
      <w:r w:rsidR="0062360D">
        <w:t xml:space="preserve">, a Goma Guar é a melhor solução, pois apesar de possuir um </w:t>
      </w:r>
      <m:oMath>
        <m:r>
          <w:rPr>
            <w:rFonts w:ascii="Cambria Math" w:hAnsi="Cambria Math"/>
          </w:rPr>
          <m:t>DR%</m:t>
        </m:r>
      </m:oMath>
      <w:r w:rsidR="0084113D">
        <w:rPr>
          <w:rFonts w:eastAsiaTheme="minorEastAsia"/>
        </w:rPr>
        <w:t xml:space="preserve"> de até 34</w:t>
      </w:r>
      <w:r w:rsidR="0062360D">
        <w:rPr>
          <w:rFonts w:eastAsiaTheme="minorEastAsia"/>
        </w:rPr>
        <w:t>%, inicialmente menor que o fornecido pelo PEO, esta redução de arraste se mantém relativamente alta durante todo o experimento, principalmente para as soluções de maior con</w:t>
      </w:r>
      <w:r w:rsidR="0084113D">
        <w:rPr>
          <w:rFonts w:eastAsiaTheme="minorEastAsia"/>
        </w:rPr>
        <w:t>centração</w:t>
      </w:r>
      <w:r w:rsidR="0062360D">
        <w:rPr>
          <w:rFonts w:eastAsiaTheme="minorEastAsia"/>
        </w:rPr>
        <w:t xml:space="preserve">, </w:t>
      </w:r>
      <w:r w:rsidR="00A4276A">
        <w:rPr>
          <w:rFonts w:eastAsiaTheme="minorEastAsia"/>
        </w:rPr>
        <w:t xml:space="preserve">com </w:t>
      </w:r>
      <w:r w:rsidR="0084113D">
        <w:rPr>
          <w:rFonts w:eastAsiaTheme="minorEastAsia"/>
        </w:rPr>
        <w:t>dados finais de redução de arraste na ordem de</w:t>
      </w:r>
      <w:r w:rsidR="00A4276A">
        <w:rPr>
          <w:rFonts w:eastAsiaTheme="minorEastAsia"/>
        </w:rPr>
        <w:t xml:space="preserve"> 19% para o </w:t>
      </w:r>
      <m:oMath>
        <m:r>
          <w:rPr>
            <w:rFonts w:ascii="Cambria Math" w:eastAsiaTheme="minorEastAsia" w:hAnsi="Cambria Math"/>
          </w:rPr>
          <m:t>Re</m:t>
        </m:r>
      </m:oMath>
      <w:r w:rsidR="00A4276A">
        <w:rPr>
          <w:rFonts w:eastAsiaTheme="minorEastAsia"/>
        </w:rPr>
        <w:t xml:space="preserve"> maior e 31% em </w:t>
      </w:r>
      <m:oMath>
        <m:r>
          <w:rPr>
            <w:rFonts w:ascii="Cambria Math" w:eastAsiaTheme="minorEastAsia" w:hAnsi="Cambria Math"/>
          </w:rPr>
          <m:t>Re</m:t>
        </m:r>
      </m:oMath>
      <w:r w:rsidR="00A4276A">
        <w:rPr>
          <w:rFonts w:eastAsiaTheme="minorEastAsia"/>
        </w:rPr>
        <w:t xml:space="preserve"> menor,</w:t>
      </w:r>
      <w:r w:rsidR="00002823">
        <w:rPr>
          <w:rFonts w:eastAsiaTheme="minorEastAsia"/>
        </w:rPr>
        <w:t xml:space="preserve"> comprovando a característica dos</w:t>
      </w:r>
      <w:r w:rsidR="00A4276A">
        <w:rPr>
          <w:rFonts w:eastAsiaTheme="minorEastAsia"/>
        </w:rPr>
        <w:t xml:space="preserve"> polímeros rígidos de possu</w:t>
      </w:r>
      <w:r w:rsidR="002F27B3">
        <w:rPr>
          <w:rFonts w:eastAsiaTheme="minorEastAsia"/>
        </w:rPr>
        <w:t>í</w:t>
      </w:r>
      <w:r w:rsidR="00A4276A">
        <w:rPr>
          <w:rFonts w:eastAsiaTheme="minorEastAsia"/>
        </w:rPr>
        <w:t>r</w:t>
      </w:r>
      <w:r w:rsidR="002F27B3">
        <w:rPr>
          <w:rFonts w:eastAsiaTheme="minorEastAsia"/>
        </w:rPr>
        <w:t>em</w:t>
      </w:r>
      <w:r w:rsidR="00A4276A">
        <w:rPr>
          <w:rFonts w:eastAsiaTheme="minorEastAsia"/>
        </w:rPr>
        <w:t xml:space="preserve"> baixa ou até nula taxa de degradação</w:t>
      </w:r>
      <w:r w:rsidR="0062360D">
        <w:rPr>
          <w:rFonts w:eastAsiaTheme="minorEastAsia"/>
        </w:rPr>
        <w:t>.</w:t>
      </w:r>
      <w:r w:rsidR="00EF6F63">
        <w:rPr>
          <w:rFonts w:eastAsiaTheme="minorEastAsia"/>
        </w:rPr>
        <w:t xml:space="preserve"> Contud</w:t>
      </w:r>
      <w:r w:rsidR="00777939">
        <w:rPr>
          <w:rFonts w:eastAsiaTheme="minorEastAsia"/>
        </w:rPr>
        <w:t xml:space="preserve">o, os resultados </w:t>
      </w:r>
      <w:r w:rsidR="0084113D">
        <w:rPr>
          <w:rFonts w:eastAsiaTheme="minorEastAsia"/>
        </w:rPr>
        <w:t xml:space="preserve">de Goma Guar </w:t>
      </w:r>
      <w:r w:rsidR="00777939">
        <w:rPr>
          <w:rFonts w:eastAsiaTheme="minorEastAsia"/>
        </w:rPr>
        <w:t>ainda distam</w:t>
      </w:r>
      <w:r w:rsidR="00EF6F63">
        <w:rPr>
          <w:rFonts w:eastAsiaTheme="minorEastAsia"/>
        </w:rPr>
        <w:t xml:space="preserve"> da assíntota</w:t>
      </w:r>
      <w:r w:rsidR="00BF27F1">
        <w:rPr>
          <w:rFonts w:eastAsiaTheme="minorEastAsia"/>
        </w:rPr>
        <w:t xml:space="preserve"> de </w:t>
      </w:r>
      <w:r w:rsidR="00777939">
        <w:rPr>
          <w:rFonts w:eastAsiaTheme="minorEastAsia"/>
        </w:rPr>
        <w:t>MDR,</w:t>
      </w:r>
      <w:r w:rsidR="00BF27F1">
        <w:rPr>
          <w:rFonts w:eastAsiaTheme="minorEastAsia"/>
        </w:rPr>
        <w:t xml:space="preserve"> devido</w:t>
      </w:r>
      <w:r w:rsidR="00777939">
        <w:rPr>
          <w:rFonts w:eastAsiaTheme="minorEastAsia"/>
        </w:rPr>
        <w:t xml:space="preserve"> </w:t>
      </w:r>
      <w:r w:rsidR="00BF27F1">
        <w:rPr>
          <w:rFonts w:eastAsiaTheme="minorEastAsia"/>
        </w:rPr>
        <w:t xml:space="preserve">ao escoamento ser promovido por bombeamento e possivelmente pela concentração ainda não ser a que promova a máxima redução de arraste para os parâmetros de </w:t>
      </w:r>
      <m:oMath>
        <m:r>
          <w:rPr>
            <w:rFonts w:ascii="Cambria Math" w:eastAsiaTheme="minorEastAsia" w:hAnsi="Cambria Math"/>
          </w:rPr>
          <m:t>Re</m:t>
        </m:r>
      </m:oMath>
      <w:r w:rsidR="00BF27F1">
        <w:rPr>
          <w:rFonts w:eastAsiaTheme="minorEastAsia"/>
        </w:rPr>
        <w:t xml:space="preserve"> analisados.</w:t>
      </w:r>
    </w:p>
    <w:p w:rsidR="00066D13" w:rsidRDefault="002F27B3" w:rsidP="0005790E">
      <w:r>
        <w:t xml:space="preserve">Os mesmos resultados são </w:t>
      </w:r>
      <w:r w:rsidR="00943CE9">
        <w:t xml:space="preserve">observados </w:t>
      </w:r>
      <w:r w:rsidR="005C0B54">
        <w:t>para as curvas de potência, onde a solução de Goma Guar (</w:t>
      </w:r>
      <m:oMath>
        <m:r>
          <w:rPr>
            <w:rFonts w:ascii="Cambria Math" w:hAnsi="Cambria Math"/>
          </w:rPr>
          <m:t>200 ppm; Re = 68000</m:t>
        </m:r>
      </m:oMath>
      <w:r w:rsidR="005C0B54">
        <w:t>) apresenta um desempenho diferenciado em relação às demais soluções no que tange à economia de potência e energia.</w:t>
      </w:r>
      <w:r w:rsidR="00172506">
        <w:t xml:space="preserve"> </w:t>
      </w:r>
      <w:r w:rsidR="00002823">
        <w:t>Entretanto, esta redução no</w:t>
      </w:r>
      <w:r w:rsidR="00066D13">
        <w:t xml:space="preserve"> consumo de</w:t>
      </w:r>
      <w:r w:rsidR="00841566">
        <w:t xml:space="preserve"> potência</w:t>
      </w:r>
      <w:r w:rsidR="00066D13">
        <w:t xml:space="preserve"> ativa </w:t>
      </w:r>
      <w:r w:rsidR="00841566">
        <w:t>implica em um</w:t>
      </w:r>
      <w:r w:rsidR="00066D13">
        <w:t>a</w:t>
      </w:r>
      <w:r w:rsidR="00841566">
        <w:t xml:space="preserve"> consequente </w:t>
      </w:r>
      <w:r w:rsidR="00066D13">
        <w:t xml:space="preserve">diminuição </w:t>
      </w:r>
      <w:r w:rsidR="00841566">
        <w:t>do fator de potência</w:t>
      </w:r>
      <w:r w:rsidR="00066D13">
        <w:t xml:space="preserve">. Em uma indústria que possui muitos equipamentos, esta diminuição costuma não representar uma alteração significativa do fator de potência </w:t>
      </w:r>
      <w:r w:rsidR="007C3241">
        <w:t xml:space="preserve">para a instalação </w:t>
      </w:r>
      <w:r w:rsidR="00066D13">
        <w:t>geral, porém caso a operação já esteja com o fator de potência no limite, a adaptação por meio do banco de capacitores é conveniente e necessária.</w:t>
      </w:r>
    </w:p>
    <w:p w:rsidR="00593441" w:rsidRDefault="00DE2A9C" w:rsidP="0005790E">
      <w:r>
        <w:lastRenderedPageBreak/>
        <w:t>Foi constatado que os resultados de economia de energia viabilizam a aplicação d</w:t>
      </w:r>
      <w:r w:rsidR="0098782E">
        <w:t xml:space="preserve">o projeto </w:t>
      </w:r>
      <w:r>
        <w:t xml:space="preserve">nos diversos </w:t>
      </w:r>
      <w:r w:rsidR="0098782E">
        <w:t>cenários testados</w:t>
      </w:r>
      <w:r>
        <w:t>, comprovando a sua atratividade até para investidores mais exigentes. Numa análise simples, a economia obtida com energia para a planta em estudo pode chegar a R$ 2938,</w:t>
      </w:r>
      <w:r w:rsidR="00E03311">
        <w:t>00</w:t>
      </w:r>
      <w:r>
        <w:t xml:space="preserve">, enquanto o custo com polímero </w:t>
      </w:r>
      <w:r w:rsidR="006A6ED1">
        <w:t xml:space="preserve">é de </w:t>
      </w:r>
      <w:r w:rsidR="0084113D">
        <w:t xml:space="preserve">até </w:t>
      </w:r>
      <w:r w:rsidR="006A6ED1">
        <w:t xml:space="preserve">cerca de </w:t>
      </w:r>
      <w:r w:rsidR="00176AE3">
        <w:t xml:space="preserve">R$ 164,00 devido à </w:t>
      </w:r>
      <w:r w:rsidR="007C3241">
        <w:t xml:space="preserve">baixa concentração em que este é </w:t>
      </w:r>
      <w:r w:rsidR="00E03311">
        <w:t>utilizad</w:t>
      </w:r>
      <w:r w:rsidR="007C3241">
        <w:t>o</w:t>
      </w:r>
      <w:r w:rsidR="00E03311">
        <w:t xml:space="preserve"> (na ordem de centenas de partículas </w:t>
      </w:r>
      <w:r w:rsidR="00EE1AB5">
        <w:t>por milhão de solvente).</w:t>
      </w:r>
    </w:p>
    <w:p w:rsidR="006A5F1D" w:rsidRPr="0084113D" w:rsidRDefault="00593441" w:rsidP="0005790E">
      <w:r w:rsidRPr="0084113D">
        <w:t xml:space="preserve">Vale ressaltar que toda a análise foi realizada em cima dos custos fixos intrínsecos a </w:t>
      </w:r>
      <w:r w:rsidR="005B3203" w:rsidRPr="0084113D">
        <w:t xml:space="preserve">construção de toda uma estrutura </w:t>
      </w:r>
      <w:r w:rsidR="00D76796" w:rsidRPr="0084113D">
        <w:t>lab</w:t>
      </w:r>
      <w:r w:rsidR="005843D1" w:rsidRPr="0084113D">
        <w:t xml:space="preserve">oratorial que, em muitos casos </w:t>
      </w:r>
      <w:r w:rsidR="00D76796" w:rsidRPr="0084113D">
        <w:t xml:space="preserve">já </w:t>
      </w:r>
      <w:r w:rsidR="005843D1" w:rsidRPr="0084113D">
        <w:t>está dispo</w:t>
      </w:r>
      <w:r w:rsidR="006A5F1D" w:rsidRPr="0084113D">
        <w:t>nível nas empresas, o que acarreta num retorno sobre o investimento ainda mais rápido do que o contemplado em nossa análise.</w:t>
      </w:r>
    </w:p>
    <w:p w:rsidR="00A017BA" w:rsidRPr="0084113D" w:rsidRDefault="005843D1" w:rsidP="0005790E">
      <w:r w:rsidRPr="0084113D">
        <w:t xml:space="preserve">Outro fato relevante </w:t>
      </w:r>
      <w:r w:rsidR="006A5F1D" w:rsidRPr="0084113D">
        <w:t xml:space="preserve">a ser mencionado </w:t>
      </w:r>
      <w:r w:rsidRPr="0084113D">
        <w:t xml:space="preserve">é que cada caso merece ser estudado com atenção, pois os parâmetros de </w:t>
      </w:r>
      <w:r w:rsidR="006A5F1D" w:rsidRPr="0084113D">
        <w:t xml:space="preserve">volume e vazão </w:t>
      </w:r>
      <w:r w:rsidRPr="0084113D">
        <w:t>de solvente</w:t>
      </w:r>
      <w:r w:rsidR="006A5F1D" w:rsidRPr="0084113D">
        <w:t xml:space="preserve"> escoado</w:t>
      </w:r>
      <w:r w:rsidRPr="0084113D">
        <w:t>, diâmetro da tubulação, rugosidade superficial,</w:t>
      </w:r>
      <w:r w:rsidR="006A5F1D" w:rsidRPr="0084113D">
        <w:t xml:space="preserve"> temperatura, salinidade, entre outros, podem contribuir para uma economia relativa de energia maior ou menor do que a obtida por meio dos experimentos realizados neste trabalho.</w:t>
      </w:r>
    </w:p>
    <w:p w:rsidR="006A5F1D" w:rsidRPr="0084113D" w:rsidRDefault="006A5F1D" w:rsidP="0005790E">
      <w:r w:rsidRPr="0084113D">
        <w:t xml:space="preserve">Como proposição para trabalhos futuros </w:t>
      </w:r>
      <w:r w:rsidR="00C04926" w:rsidRPr="0084113D">
        <w:t xml:space="preserve">é sugerido que </w:t>
      </w:r>
      <w:r w:rsidR="00A179B8" w:rsidRPr="0084113D">
        <w:t>sejam realizados testes com duração ainda maior, a fim de se descobrir se há uma assín</w:t>
      </w:r>
      <w:r w:rsidR="00EE1EF7" w:rsidRPr="0084113D">
        <w:t>tota para a redução de arraste e</w:t>
      </w:r>
      <w:r w:rsidR="00A179B8" w:rsidRPr="0084113D">
        <w:t xml:space="preserve"> </w:t>
      </w:r>
      <w:r w:rsidR="00EE1EF7" w:rsidRPr="0084113D">
        <w:t xml:space="preserve">potência ativa consumida </w:t>
      </w:r>
      <w:r w:rsidR="00A179B8" w:rsidRPr="0084113D">
        <w:t xml:space="preserve">nas soluções que apresentaram tendência ascendente ao fim dos ensaios </w:t>
      </w:r>
      <w:r w:rsidR="00EE1EF7" w:rsidRPr="0084113D">
        <w:t xml:space="preserve">realizados neste </w:t>
      </w:r>
      <w:r w:rsidR="00A179B8" w:rsidRPr="0084113D">
        <w:t xml:space="preserve">trabalho e, caso haja uma assíntota, qual seria o </w:t>
      </w:r>
      <m:oMath>
        <m:r>
          <w:rPr>
            <w:rFonts w:ascii="Cambria Math" w:hAnsi="Cambria Math"/>
          </w:rPr>
          <m:t>DR%</m:t>
        </m:r>
      </m:oMath>
      <w:r w:rsidR="00A179B8" w:rsidRPr="0084113D">
        <w:rPr>
          <w:rFonts w:eastAsiaTheme="minorEastAsia"/>
        </w:rPr>
        <w:t xml:space="preserve"> mínimo correspondente</w:t>
      </w:r>
      <w:r w:rsidR="00EE1EF7" w:rsidRPr="0084113D">
        <w:t xml:space="preserve">. </w:t>
      </w:r>
      <w:r w:rsidR="00A179B8" w:rsidRPr="0084113D">
        <w:t xml:space="preserve">Também é aconselhável que </w:t>
      </w:r>
      <w:r w:rsidR="00C04926" w:rsidRPr="0084113D">
        <w:t>os experimentos sejam replicados para uma coleta mais apurada dos dados dos transdutores de pressão</w:t>
      </w:r>
      <w:r w:rsidR="00EE1EF7" w:rsidRPr="0084113D">
        <w:t>,</w:t>
      </w:r>
      <w:r w:rsidR="00C04926" w:rsidRPr="0084113D">
        <w:t xml:space="preserve"> utilizados para o cálculo do fator de atrito e da redução de arraste, pois foi identificado que flutuações estão ocorrendo </w:t>
      </w:r>
      <w:r w:rsidR="00DF6EFF" w:rsidRPr="0084113D">
        <w:t xml:space="preserve">ao longo de alguns experimentos, enquanto outros permanecem com uma </w:t>
      </w:r>
      <w:r w:rsidR="00EE1EF7" w:rsidRPr="0084113D">
        <w:t>aquisição de dados regular. A</w:t>
      </w:r>
      <w:r w:rsidR="00DF6EFF" w:rsidRPr="0084113D">
        <w:t xml:space="preserve"> fonte desta incerteza ainda não foi localizada e corrigida, </w:t>
      </w:r>
      <w:r w:rsidR="00EE1EF7" w:rsidRPr="0084113D">
        <w:t xml:space="preserve">direcionando as análises de alguns experimentos </w:t>
      </w:r>
      <w:r w:rsidR="00693238" w:rsidRPr="0084113D">
        <w:t xml:space="preserve">para os dados obtidos pelo </w:t>
      </w:r>
      <w:r w:rsidR="0084113D">
        <w:t>multimedidor de</w:t>
      </w:r>
      <w:r w:rsidR="00693238" w:rsidRPr="0084113D">
        <w:t xml:space="preserve"> potência ativa instantânea</w:t>
      </w:r>
      <w:r w:rsidR="00DF6EFF" w:rsidRPr="0084113D">
        <w:t>.</w:t>
      </w:r>
      <w:r w:rsidR="00693238" w:rsidRPr="0084113D">
        <w:t xml:space="preserve"> </w:t>
      </w:r>
      <w:r w:rsidR="00E10DE8" w:rsidRPr="0084113D">
        <w:t xml:space="preserve">Foi observado que em alguns instantes, havia uma variação um pouco maior da potência ativa instantânea devido à constante mudança de rotação promovida pelo inversor de frequência. Por este e outros motivos, alguns </w:t>
      </w:r>
      <w:r w:rsidR="00693238" w:rsidRPr="0084113D">
        <w:t>parâmetros além da vazão também podem ser controlados</w:t>
      </w:r>
      <w:r w:rsidR="00E10DE8" w:rsidRPr="0084113D">
        <w:t>,</w:t>
      </w:r>
      <w:r w:rsidR="00693238" w:rsidRPr="0084113D">
        <w:t xml:space="preserve"> </w:t>
      </w:r>
      <w:r w:rsidR="00E10DE8" w:rsidRPr="0084113D">
        <w:t>em novos experimentos, a fim de se investigar diretamente os efeitos da redução de arraste em outras variáveis, como o próprio ganho de vazão obtido ao se f</w:t>
      </w:r>
      <w:r w:rsidR="00FE6246">
        <w:t>ixar a potência ativa demandada. E</w:t>
      </w:r>
      <w:r w:rsidR="00E10DE8" w:rsidRPr="0084113D">
        <w:t>sta análise é útil para processos onde o interesse não se situa na economia de energia, mas na maximização da operação.</w:t>
      </w:r>
    </w:p>
    <w:p w:rsidR="00B202F2" w:rsidRDefault="00B202F2" w:rsidP="00980A8B">
      <w:pPr>
        <w:pStyle w:val="Nvel1-PG"/>
        <w:rPr>
          <w:lang w:val="en-US"/>
        </w:rPr>
      </w:pPr>
      <w:bookmarkStart w:id="210" w:name="_Toc488678390"/>
      <w:r w:rsidRPr="00FF7F43">
        <w:rPr>
          <w:lang w:val="en-US"/>
        </w:rPr>
        <w:lastRenderedPageBreak/>
        <w:t>REFERÊNCIAS</w:t>
      </w:r>
      <w:bookmarkEnd w:id="210"/>
    </w:p>
    <w:p w:rsidR="00A017BA" w:rsidRDefault="00A017BA" w:rsidP="00A017BA">
      <w:pPr>
        <w:autoSpaceDE w:val="0"/>
        <w:autoSpaceDN w:val="0"/>
        <w:adjustRightInd w:val="0"/>
        <w:rPr>
          <w:rFonts w:cs="Arial"/>
          <w:color w:val="000000"/>
          <w:szCs w:val="24"/>
        </w:rPr>
      </w:pPr>
      <w:r>
        <w:rPr>
          <w:rFonts w:cs="Arial"/>
          <w:color w:val="000000"/>
          <w:szCs w:val="24"/>
          <w:lang w:val="en-US"/>
        </w:rPr>
        <w:t xml:space="preserve">[1] KIM, K.; SURESHKUMAR, R. Spatiotemporal Evolution of Hairpin Eddies, Reynolds Stress, and Polymer Torque in Polymer Drag-Reduced Turbulent Channel Flows. </w:t>
      </w:r>
      <w:r>
        <w:rPr>
          <w:rFonts w:cs="Arial"/>
          <w:color w:val="000000"/>
          <w:szCs w:val="24"/>
        </w:rPr>
        <w:t>Revista Phys Today, Edição 87(6), p. 063002, 2013.</w:t>
      </w:r>
    </w:p>
    <w:p w:rsidR="00A017BA" w:rsidRPr="00A017BA" w:rsidRDefault="00A017BA" w:rsidP="00A017BA">
      <w:pPr>
        <w:autoSpaceDE w:val="0"/>
        <w:autoSpaceDN w:val="0"/>
        <w:adjustRightInd w:val="0"/>
        <w:rPr>
          <w:rFonts w:cs="Arial"/>
          <w:color w:val="000000"/>
          <w:szCs w:val="24"/>
          <w:lang w:val="en-US"/>
        </w:rPr>
      </w:pPr>
      <w:r>
        <w:rPr>
          <w:rFonts w:cs="Arial"/>
          <w:color w:val="000000"/>
          <w:szCs w:val="24"/>
        </w:rPr>
        <w:t xml:space="preserve">[2] BIZZOTO, V. C.; ALKSEHBIRS, M. I.; SABADINI, E. Uma revisão sobre o efeito toms - O Fenômeno onde macromoléculas atenuam a turbulência em um líquido. </w:t>
      </w:r>
      <w:r w:rsidRPr="00A017BA">
        <w:rPr>
          <w:rFonts w:cs="Arial"/>
          <w:color w:val="000000"/>
          <w:szCs w:val="24"/>
          <w:lang w:val="en-US"/>
        </w:rPr>
        <w:t>Quimica Nova, Campinas, SP, maio 2010.</w:t>
      </w:r>
    </w:p>
    <w:p w:rsidR="00A017BA" w:rsidRDefault="00A017BA" w:rsidP="00A017BA">
      <w:pPr>
        <w:autoSpaceDE w:val="0"/>
        <w:autoSpaceDN w:val="0"/>
        <w:adjustRightInd w:val="0"/>
        <w:rPr>
          <w:rFonts w:cs="Arial"/>
          <w:szCs w:val="24"/>
          <w:lang w:val="en-US"/>
        </w:rPr>
      </w:pPr>
      <w:r>
        <w:rPr>
          <w:rFonts w:cs="Arial"/>
          <w:szCs w:val="24"/>
          <w:lang w:val="en-US"/>
        </w:rPr>
        <w:t>[3] BARATI, R.; LIANG, J.-T. A review of fracturing fluid systems used for hydraulic fracturing of oil and gas wells. Journal of Applied Polymer Science, pp. 1-11, 2014.</w:t>
      </w:r>
    </w:p>
    <w:p w:rsidR="00A017BA" w:rsidRDefault="00A017BA" w:rsidP="00A017BA">
      <w:pPr>
        <w:autoSpaceDE w:val="0"/>
        <w:autoSpaceDN w:val="0"/>
        <w:adjustRightInd w:val="0"/>
        <w:rPr>
          <w:rFonts w:cs="Arial"/>
          <w:szCs w:val="24"/>
          <w:lang w:val="en-US"/>
        </w:rPr>
      </w:pPr>
      <w:r>
        <w:rPr>
          <w:rFonts w:cs="Arial"/>
          <w:szCs w:val="24"/>
          <w:lang w:val="en-US"/>
        </w:rPr>
        <w:t>[4] GOLDA, J. Hydraulic transport of coal in pipes with drag reducing additives. Chemical Engineering Community, vol. 45, pp. 53-67, 1986.</w:t>
      </w:r>
    </w:p>
    <w:p w:rsidR="00A017BA" w:rsidRDefault="00A017BA" w:rsidP="00A017BA">
      <w:pPr>
        <w:autoSpaceDE w:val="0"/>
        <w:autoSpaceDN w:val="0"/>
        <w:adjustRightInd w:val="0"/>
        <w:rPr>
          <w:rFonts w:cs="Arial"/>
          <w:color w:val="000000"/>
          <w:szCs w:val="24"/>
        </w:rPr>
      </w:pPr>
      <w:r>
        <w:rPr>
          <w:rFonts w:cs="Arial"/>
          <w:color w:val="000000"/>
          <w:szCs w:val="24"/>
          <w:lang w:val="en-US"/>
        </w:rPr>
        <w:t xml:space="preserve">[5] VIRK, P. S. Drag reduction fundamentals. </w:t>
      </w:r>
      <w:r>
        <w:rPr>
          <w:rFonts w:cs="Arial"/>
          <w:color w:val="000000"/>
          <w:szCs w:val="24"/>
        </w:rPr>
        <w:t>AIChE Joumal, vol. 21, pp. 625-650, 1975.</w:t>
      </w:r>
    </w:p>
    <w:p w:rsidR="00A017BA" w:rsidRDefault="00A017BA" w:rsidP="00A017BA">
      <w:pPr>
        <w:autoSpaceDE w:val="0"/>
        <w:autoSpaceDN w:val="0"/>
        <w:adjustRightInd w:val="0"/>
        <w:rPr>
          <w:rFonts w:cs="Arial"/>
          <w:color w:val="000000"/>
          <w:szCs w:val="24"/>
        </w:rPr>
      </w:pPr>
      <w:r>
        <w:rPr>
          <w:rFonts w:cs="Arial"/>
          <w:color w:val="000000"/>
          <w:szCs w:val="24"/>
        </w:rPr>
        <w:t>[6] FURTADO, A. T. Pré-sal, Desenvolvimento Industrial e Inovação. Revista Paranaense de Desenvolvimento, Issue 125, p.79-100. 2013</w:t>
      </w:r>
    </w:p>
    <w:p w:rsidR="00A017BA" w:rsidRPr="00A017BA" w:rsidRDefault="00A017BA" w:rsidP="00A017BA">
      <w:pPr>
        <w:autoSpaceDE w:val="0"/>
        <w:autoSpaceDN w:val="0"/>
        <w:adjustRightInd w:val="0"/>
        <w:rPr>
          <w:rFonts w:cs="Arial"/>
          <w:color w:val="000000"/>
          <w:szCs w:val="24"/>
          <w:lang w:val="en-US"/>
        </w:rPr>
      </w:pPr>
      <w:r>
        <w:rPr>
          <w:rFonts w:cs="Arial"/>
          <w:color w:val="000000"/>
          <w:szCs w:val="24"/>
        </w:rPr>
        <w:t xml:space="preserve">[7] WILLEMSENS, E. Estudo de redução de arraste no escoamento turbulento de água em duto quadrado ranhurado. </w:t>
      </w:r>
      <w:r w:rsidRPr="00A017BA">
        <w:rPr>
          <w:rFonts w:cs="Arial"/>
          <w:color w:val="000000"/>
          <w:szCs w:val="24"/>
          <w:lang w:val="en-US"/>
        </w:rPr>
        <w:t>PUC-Rio. Rio de Janeiro, p. 18. 2013.</w:t>
      </w:r>
    </w:p>
    <w:p w:rsidR="00A017BA" w:rsidRDefault="00A017BA" w:rsidP="00A017BA">
      <w:pPr>
        <w:autoSpaceDE w:val="0"/>
        <w:autoSpaceDN w:val="0"/>
        <w:adjustRightInd w:val="0"/>
        <w:rPr>
          <w:rFonts w:cs="Arial"/>
          <w:color w:val="000000"/>
          <w:szCs w:val="24"/>
          <w:lang w:val="en-US"/>
        </w:rPr>
      </w:pPr>
      <w:r>
        <w:rPr>
          <w:rFonts w:cs="Arial"/>
          <w:color w:val="000000"/>
          <w:szCs w:val="24"/>
          <w:lang w:val="en-US"/>
        </w:rPr>
        <w:t>[8] WANG, Y.; YU, B.; ZAKIN, J. L.; SHI, H. Review on drag reduction and its heat transfer by additives. Advances in Mechanical Engineering, 2011.</w:t>
      </w:r>
    </w:p>
    <w:p w:rsidR="00A017BA" w:rsidRDefault="00A017BA" w:rsidP="00A017BA">
      <w:pPr>
        <w:autoSpaceDE w:val="0"/>
        <w:autoSpaceDN w:val="0"/>
        <w:adjustRightInd w:val="0"/>
        <w:rPr>
          <w:rFonts w:cs="Arial"/>
          <w:color w:val="000000"/>
          <w:szCs w:val="24"/>
          <w:lang w:val="en-US"/>
        </w:rPr>
      </w:pPr>
      <w:r>
        <w:rPr>
          <w:rFonts w:cs="Arial"/>
          <w:color w:val="000000"/>
          <w:szCs w:val="24"/>
          <w:lang w:val="en-US"/>
        </w:rPr>
        <w:t>[9] TOMS, B. A. Some observations on the flow of linear polymer solutions through straight tubes at large reynolds numbers. Proceedings of the International Congress of Rheology, Holanda, North-Holland, Amsterdam, Section II, p. 135-141, 1948.</w:t>
      </w:r>
    </w:p>
    <w:p w:rsidR="00A017BA" w:rsidRDefault="00A017BA" w:rsidP="00A017BA">
      <w:pPr>
        <w:autoSpaceDE w:val="0"/>
        <w:autoSpaceDN w:val="0"/>
        <w:adjustRightInd w:val="0"/>
        <w:rPr>
          <w:rFonts w:cs="Arial"/>
          <w:szCs w:val="24"/>
          <w:lang w:val="en-US"/>
        </w:rPr>
      </w:pPr>
      <w:r>
        <w:rPr>
          <w:rFonts w:cs="Arial"/>
          <w:szCs w:val="24"/>
          <w:lang w:val="en-US"/>
        </w:rPr>
        <w:t xml:space="preserve">[10] LEUCHTAG, H. R. </w:t>
      </w:r>
      <w:r>
        <w:rPr>
          <w:lang w:val="en-US"/>
        </w:rPr>
        <w:t>Polymer additives reduce fluid drag in turbulent flow.</w:t>
      </w:r>
      <w:r>
        <w:rPr>
          <w:rFonts w:cs="Arial"/>
          <w:szCs w:val="24"/>
          <w:lang w:val="en-US"/>
        </w:rPr>
        <w:t xml:space="preserve"> Revista Phys. Today, 31, 17, 1978.</w:t>
      </w:r>
    </w:p>
    <w:p w:rsidR="00A017BA" w:rsidRDefault="00A017BA" w:rsidP="00A017BA">
      <w:pPr>
        <w:autoSpaceDE w:val="0"/>
        <w:autoSpaceDN w:val="0"/>
        <w:adjustRightInd w:val="0"/>
        <w:rPr>
          <w:rFonts w:cs="Arial"/>
          <w:color w:val="000000"/>
          <w:szCs w:val="24"/>
          <w:lang w:val="en-US"/>
        </w:rPr>
      </w:pPr>
      <w:r>
        <w:rPr>
          <w:rFonts w:cs="Arial"/>
          <w:color w:val="000000"/>
          <w:szCs w:val="24"/>
          <w:lang w:val="en-US"/>
        </w:rPr>
        <w:t>[11] SAVINS. J. G. Drag reduction characteristics of solutions of macromolecules in turbulent pipe flow. Society of Petroleum Engineers Journal, vol. 4, p. 203, 1964.</w:t>
      </w:r>
    </w:p>
    <w:p w:rsidR="00A017BA" w:rsidRDefault="00A017BA" w:rsidP="00A017BA">
      <w:pPr>
        <w:autoSpaceDE w:val="0"/>
        <w:autoSpaceDN w:val="0"/>
        <w:adjustRightInd w:val="0"/>
        <w:rPr>
          <w:rFonts w:cs="Arial"/>
          <w:szCs w:val="24"/>
          <w:lang w:val="en-US"/>
        </w:rPr>
      </w:pPr>
      <w:r>
        <w:rPr>
          <w:rFonts w:cs="Arial"/>
          <w:szCs w:val="24"/>
          <w:lang w:val="en-US"/>
        </w:rPr>
        <w:t>[12] LUMLEY, J. L. Drag reduction by additives. Annual Review of Fluid Mechanics, vol. 1, 60, p.367-384, 1969.</w:t>
      </w:r>
    </w:p>
    <w:p w:rsidR="00A017BA" w:rsidRDefault="00A017BA" w:rsidP="00A017BA">
      <w:pPr>
        <w:autoSpaceDE w:val="0"/>
        <w:autoSpaceDN w:val="0"/>
        <w:adjustRightInd w:val="0"/>
        <w:rPr>
          <w:rFonts w:cs="Arial"/>
          <w:szCs w:val="24"/>
          <w:lang w:val="en-US"/>
        </w:rPr>
      </w:pPr>
      <w:r>
        <w:rPr>
          <w:rFonts w:cs="Arial"/>
          <w:szCs w:val="24"/>
          <w:lang w:val="en-US"/>
        </w:rPr>
        <w:t>[13] BARK, F. H.; HINCH, E. J.; LANDAHL M. T. Drag reduction in turbulent flow dueto additives: a report on euromech 52. Joumal of Fluid Mechanics, vol. 68, p. 129-138, 1975.</w:t>
      </w:r>
    </w:p>
    <w:p w:rsidR="00A017BA" w:rsidRDefault="00A017BA" w:rsidP="00A017BA">
      <w:pPr>
        <w:autoSpaceDE w:val="0"/>
        <w:autoSpaceDN w:val="0"/>
        <w:adjustRightInd w:val="0"/>
        <w:rPr>
          <w:rFonts w:cs="Arial"/>
          <w:szCs w:val="24"/>
          <w:lang w:val="en-US"/>
        </w:rPr>
      </w:pPr>
      <w:r>
        <w:rPr>
          <w:rFonts w:cs="Arial"/>
          <w:color w:val="000000"/>
          <w:szCs w:val="24"/>
          <w:lang w:val="en-US"/>
        </w:rPr>
        <w:lastRenderedPageBreak/>
        <w:t xml:space="preserve">[14] BURGER, </w:t>
      </w:r>
      <w:r>
        <w:rPr>
          <w:rFonts w:cs="Arial"/>
          <w:szCs w:val="24"/>
          <w:lang w:val="en-US"/>
        </w:rPr>
        <w:t>E. D.; MUNK W. R.; WAHL H. A. Flow increase in the Trans Alaska Pipeline through use of a polymeric dragreducing additive. Journal of Petroleum Technology, vo</w:t>
      </w:r>
      <w:r w:rsidR="006620EC">
        <w:rPr>
          <w:rFonts w:cs="Arial"/>
          <w:szCs w:val="24"/>
          <w:lang w:val="en-US"/>
        </w:rPr>
        <w:t>l. 34, no. 2, p. 377–386, 1982.</w:t>
      </w:r>
    </w:p>
    <w:p w:rsidR="00A017BA" w:rsidRDefault="00A017BA" w:rsidP="00A017BA">
      <w:pPr>
        <w:autoSpaceDE w:val="0"/>
        <w:autoSpaceDN w:val="0"/>
        <w:adjustRightInd w:val="0"/>
        <w:rPr>
          <w:rFonts w:cs="Arial"/>
          <w:szCs w:val="24"/>
          <w:lang w:val="en-US"/>
        </w:rPr>
      </w:pPr>
      <w:r>
        <w:rPr>
          <w:rFonts w:cs="Arial"/>
          <w:szCs w:val="24"/>
          <w:lang w:val="en-US"/>
        </w:rPr>
        <w:t>[15]</w:t>
      </w:r>
      <w:r>
        <w:rPr>
          <w:lang w:val="en-US"/>
        </w:rPr>
        <w:t xml:space="preserve"> TABOR, </w:t>
      </w:r>
      <w:r>
        <w:rPr>
          <w:rFonts w:cs="Arial"/>
          <w:szCs w:val="24"/>
          <w:lang w:val="en-US"/>
        </w:rPr>
        <w:t>M.; DE GENNES, P. G. A cascade theory of drag reduction. Europhysics Letter, vol. 7, p.519-522, 1986.</w:t>
      </w:r>
    </w:p>
    <w:p w:rsidR="00A017BA" w:rsidRDefault="00A017BA" w:rsidP="00A017BA">
      <w:pPr>
        <w:autoSpaceDE w:val="0"/>
        <w:autoSpaceDN w:val="0"/>
        <w:adjustRightInd w:val="0"/>
        <w:rPr>
          <w:rFonts w:cs="Arial"/>
          <w:szCs w:val="24"/>
          <w:lang w:val="en-US"/>
        </w:rPr>
      </w:pPr>
      <w:r>
        <w:rPr>
          <w:rFonts w:cs="Arial"/>
          <w:szCs w:val="24"/>
          <w:lang w:val="en-US"/>
        </w:rPr>
        <w:t>[16]</w:t>
      </w:r>
      <w:r>
        <w:rPr>
          <w:lang w:val="en-US"/>
        </w:rPr>
        <w:t xml:space="preserve"> L’VOV, </w:t>
      </w:r>
      <w:r>
        <w:rPr>
          <w:rFonts w:cs="Arial"/>
          <w:szCs w:val="24"/>
          <w:lang w:val="en-US"/>
        </w:rPr>
        <w:t>V. S.; POMYALOV, A.; PROCACCIA, I.; TIBERKEVICH, V. Drag reduction by polymer in wall bounded turbulence. Physical Review Letters, vol. 92, 2004.</w:t>
      </w:r>
    </w:p>
    <w:p w:rsidR="00A017BA" w:rsidRDefault="00A017BA" w:rsidP="00A017BA">
      <w:pPr>
        <w:autoSpaceDE w:val="0"/>
        <w:autoSpaceDN w:val="0"/>
        <w:adjustRightInd w:val="0"/>
        <w:rPr>
          <w:rFonts w:cs="Arial"/>
          <w:szCs w:val="24"/>
          <w:lang w:val="en-US"/>
        </w:rPr>
      </w:pPr>
      <w:r>
        <w:rPr>
          <w:rFonts w:cs="Arial"/>
          <w:szCs w:val="24"/>
          <w:lang w:val="en-US"/>
        </w:rPr>
        <w:t>[17] WHITE, C. M.; MUNGAL, M. G. Mechanics and prediction of turbulent drag reduction with polymer additives. Revista Anual Fluid Mechanics, vol. 40, p. 253-256, 2008.</w:t>
      </w:r>
    </w:p>
    <w:p w:rsidR="00A017BA" w:rsidRDefault="00A017BA" w:rsidP="00A017BA">
      <w:pPr>
        <w:autoSpaceDE w:val="0"/>
        <w:autoSpaceDN w:val="0"/>
        <w:adjustRightInd w:val="0"/>
        <w:rPr>
          <w:rFonts w:cs="Arial"/>
          <w:szCs w:val="24"/>
          <w:lang w:val="en-US"/>
        </w:rPr>
      </w:pPr>
      <w:r>
        <w:rPr>
          <w:rFonts w:cs="Arial"/>
          <w:szCs w:val="24"/>
          <w:lang w:val="en-US"/>
        </w:rPr>
        <w:t>[18] MIN, T.; YOO, J. Y.; CHOI, H.; JOSEPH, D. D. Joseph. Drag reduction by polymer additives in a turbulent channel flow. Joumal of Fluid Mechanics, vol. 286, p. 213-238, 2003.</w:t>
      </w:r>
    </w:p>
    <w:p w:rsidR="00A017BA" w:rsidRDefault="00A017BA" w:rsidP="00A017BA">
      <w:pPr>
        <w:autoSpaceDE w:val="0"/>
        <w:autoSpaceDN w:val="0"/>
        <w:adjustRightInd w:val="0"/>
        <w:rPr>
          <w:rFonts w:cs="Arial"/>
          <w:szCs w:val="24"/>
          <w:lang w:val="en-US"/>
        </w:rPr>
      </w:pPr>
      <w:r>
        <w:rPr>
          <w:rFonts w:cs="Arial"/>
          <w:szCs w:val="24"/>
          <w:lang w:val="en-US"/>
        </w:rPr>
        <w:t>[19] KAWAGUCHI Y.; LI, F.C.; YU, B; WEI J.J. Turbulent Drag Reduction with Surfactant Additives - Basic Research and Application to an Air Conditioning System. New Trends in Fluid Mechanics Research. Springer, Berlin, 2007.</w:t>
      </w:r>
    </w:p>
    <w:p w:rsidR="00A017BA" w:rsidRDefault="00A017BA" w:rsidP="00A017BA">
      <w:pPr>
        <w:rPr>
          <w:rFonts w:cs="Arial"/>
          <w:szCs w:val="24"/>
          <w:lang w:val="en-US"/>
        </w:rPr>
      </w:pPr>
      <w:r>
        <w:rPr>
          <w:rFonts w:cs="Arial"/>
          <w:szCs w:val="24"/>
          <w:lang w:val="en-US"/>
        </w:rPr>
        <w:t>[20]</w:t>
      </w:r>
      <w:r>
        <w:rPr>
          <w:lang w:val="en-US"/>
        </w:rPr>
        <w:t xml:space="preserve"> </w:t>
      </w:r>
      <w:r>
        <w:rPr>
          <w:rFonts w:cs="Arial"/>
          <w:szCs w:val="24"/>
          <w:lang w:val="en-US"/>
        </w:rPr>
        <w:t>GASLJEVIC, K.; MATTHYS, E. F. On saving pumping power in hydronic thermal distribution systems through the use of drag-reducing additives. Energy and Buildings, Santa Barbara, California, EUA, pg. 45-46, 1993.</w:t>
      </w:r>
    </w:p>
    <w:p w:rsidR="00A017BA" w:rsidRDefault="00A017BA" w:rsidP="00A017BA">
      <w:pPr>
        <w:autoSpaceDE w:val="0"/>
        <w:autoSpaceDN w:val="0"/>
        <w:adjustRightInd w:val="0"/>
        <w:rPr>
          <w:rFonts w:cs="Arial"/>
          <w:szCs w:val="24"/>
        </w:rPr>
      </w:pPr>
      <w:r>
        <w:rPr>
          <w:rFonts w:cs="Arial"/>
          <w:szCs w:val="24"/>
          <w:lang w:val="en-US"/>
        </w:rPr>
        <w:t xml:space="preserve">[21] CAMPOLO M.; SIMEONI M.; LAPASIN R.; SOLDATI A. Turbulent Drag Reduction by Biopolymers in Large Scale Pipes. </w:t>
      </w:r>
      <w:r>
        <w:rPr>
          <w:rFonts w:cs="Arial"/>
          <w:szCs w:val="24"/>
        </w:rPr>
        <w:t>ASME. J. Fluids Eng. 137(4): 041102-041102-11, 2015.</w:t>
      </w:r>
    </w:p>
    <w:p w:rsidR="00A017BA" w:rsidRDefault="00A017BA" w:rsidP="00A017BA">
      <w:pPr>
        <w:autoSpaceDE w:val="0"/>
        <w:autoSpaceDN w:val="0"/>
        <w:adjustRightInd w:val="0"/>
        <w:rPr>
          <w:rFonts w:cs="Arial"/>
          <w:szCs w:val="24"/>
        </w:rPr>
      </w:pPr>
      <w:r>
        <w:rPr>
          <w:rFonts w:cs="Arial"/>
          <w:szCs w:val="24"/>
        </w:rPr>
        <w:t>[22] NETO, A. S. Fundamentos da turbulência nos fluidos. Universidade Federal de Uberlândia. Uberlândia, Minas Gerais.</w:t>
      </w:r>
    </w:p>
    <w:p w:rsidR="00A017BA" w:rsidRPr="00A017BA" w:rsidRDefault="00A017BA" w:rsidP="00A017BA">
      <w:pPr>
        <w:autoSpaceDE w:val="0"/>
        <w:autoSpaceDN w:val="0"/>
        <w:adjustRightInd w:val="0"/>
        <w:rPr>
          <w:rFonts w:cs="Arial"/>
          <w:szCs w:val="24"/>
        </w:rPr>
      </w:pPr>
      <w:r>
        <w:rPr>
          <w:rFonts w:cs="Arial"/>
          <w:szCs w:val="24"/>
        </w:rPr>
        <w:t xml:space="preserve">[23] FOX, R. W.; PITCHARD, P. J.; MCDONALD, A. T. Introdução à mecânica dos fluidos. </w:t>
      </w:r>
      <w:r w:rsidRPr="00A017BA">
        <w:rPr>
          <w:rFonts w:cs="Arial"/>
          <w:szCs w:val="24"/>
        </w:rPr>
        <w:t>LTC, 8a ed., 2014.</w:t>
      </w:r>
    </w:p>
    <w:p w:rsidR="00A017BA" w:rsidRPr="00A017BA" w:rsidRDefault="00A017BA" w:rsidP="00A017BA">
      <w:pPr>
        <w:autoSpaceDE w:val="0"/>
        <w:autoSpaceDN w:val="0"/>
        <w:adjustRightInd w:val="0"/>
        <w:rPr>
          <w:rFonts w:cs="Arial"/>
          <w:szCs w:val="24"/>
        </w:rPr>
      </w:pPr>
      <w:r>
        <w:rPr>
          <w:rFonts w:cs="Arial"/>
          <w:szCs w:val="24"/>
        </w:rPr>
        <w:t xml:space="preserve">[24] DONATO, V. B. Análise do fator de atrito e energia demandada para escoamentos turbulentos em tubos com soluções redutoras de arraste e aspectos construtivos. Projeto de Graduação. </w:t>
      </w:r>
      <w:r w:rsidRPr="00A017BA">
        <w:rPr>
          <w:rFonts w:cs="Arial"/>
          <w:szCs w:val="24"/>
        </w:rPr>
        <w:t>Universidade Federal do Espírito Santo. Vitória, 2016.</w:t>
      </w:r>
    </w:p>
    <w:p w:rsidR="00A017BA" w:rsidRDefault="00A017BA" w:rsidP="00A017BA">
      <w:pPr>
        <w:autoSpaceDE w:val="0"/>
        <w:autoSpaceDN w:val="0"/>
        <w:adjustRightInd w:val="0"/>
        <w:rPr>
          <w:rFonts w:cs="Arial"/>
          <w:szCs w:val="24"/>
        </w:rPr>
      </w:pPr>
      <w:r w:rsidRPr="00A017BA">
        <w:rPr>
          <w:rFonts w:cs="Arial"/>
          <w:szCs w:val="24"/>
        </w:rPr>
        <w:t xml:space="preserve">[25] MATTHYS, E. F. Recent results heat transfer and drag reduction. Journal of Non-Newtonian Fluid Mechanics, 38. </w:t>
      </w:r>
      <w:r>
        <w:rPr>
          <w:rFonts w:cs="Arial"/>
          <w:szCs w:val="24"/>
        </w:rPr>
        <w:t>Elsevier, p. 313-342, 1991.</w:t>
      </w:r>
    </w:p>
    <w:p w:rsidR="00A017BA" w:rsidRDefault="00A017BA" w:rsidP="00A017BA">
      <w:pPr>
        <w:autoSpaceDE w:val="0"/>
        <w:autoSpaceDN w:val="0"/>
        <w:adjustRightInd w:val="0"/>
        <w:rPr>
          <w:rFonts w:cs="Arial"/>
          <w:szCs w:val="24"/>
        </w:rPr>
      </w:pPr>
      <w:r>
        <w:rPr>
          <w:rFonts w:cs="Arial"/>
          <w:szCs w:val="24"/>
        </w:rPr>
        <w:t xml:space="preserve">[26] SILVA, L. A. S. Redução de arraste e degradação de polímeros flexíveis em escoamentos turbulentos em dutos. </w:t>
      </w:r>
      <w:r w:rsidRPr="00A017BA">
        <w:rPr>
          <w:rFonts w:cs="Arial"/>
          <w:szCs w:val="24"/>
        </w:rPr>
        <w:t xml:space="preserve">Tese de mestrado. </w:t>
      </w:r>
      <w:r>
        <w:rPr>
          <w:rFonts w:cs="Arial"/>
          <w:szCs w:val="24"/>
        </w:rPr>
        <w:t>Universidade Federal do Espírito, Espírito Santo, Brasil, 2014.</w:t>
      </w:r>
    </w:p>
    <w:p w:rsidR="00A017BA" w:rsidRPr="00A017BA" w:rsidRDefault="00A017BA" w:rsidP="00A017BA">
      <w:pPr>
        <w:autoSpaceDE w:val="0"/>
        <w:autoSpaceDN w:val="0"/>
        <w:adjustRightInd w:val="0"/>
        <w:rPr>
          <w:rFonts w:cs="Arial"/>
          <w:szCs w:val="24"/>
        </w:rPr>
      </w:pPr>
      <w:r>
        <w:rPr>
          <w:rFonts w:cs="Arial"/>
          <w:szCs w:val="24"/>
          <w:lang w:val="en-US"/>
        </w:rPr>
        <w:lastRenderedPageBreak/>
        <w:t xml:space="preserve">[27] BOWER, D. I. An Introduction to Polymer Physics. </w:t>
      </w:r>
      <w:r w:rsidRPr="00A017BA">
        <w:rPr>
          <w:rFonts w:cs="Arial"/>
          <w:szCs w:val="24"/>
        </w:rPr>
        <w:t>Cam</w:t>
      </w:r>
      <w:r w:rsidR="006620EC">
        <w:rPr>
          <w:rFonts w:cs="Arial"/>
          <w:szCs w:val="24"/>
        </w:rPr>
        <w:t>bridge University Press, 2002.</w:t>
      </w:r>
      <w:r w:rsidR="006620EC">
        <w:rPr>
          <w:rFonts w:cs="Arial"/>
          <w:szCs w:val="24"/>
        </w:rPr>
        <w:tab/>
      </w:r>
    </w:p>
    <w:p w:rsidR="00A017BA" w:rsidRDefault="00A017BA" w:rsidP="00A017BA">
      <w:pPr>
        <w:autoSpaceDE w:val="0"/>
        <w:autoSpaceDN w:val="0"/>
        <w:adjustRightInd w:val="0"/>
        <w:rPr>
          <w:lang w:val="en-US"/>
        </w:rPr>
      </w:pPr>
      <w:r>
        <w:rPr>
          <w:rFonts w:cs="Arial"/>
          <w:szCs w:val="24"/>
        </w:rPr>
        <w:t xml:space="preserve">[28] SOUZA, A.S.; VENDRUSCULO, C. T. Produção e caracterização dos biopolímeros sintetizados por X. Campestris pv pruni CEPAS 24 e 28. </w:t>
      </w:r>
      <w:r>
        <w:rPr>
          <w:rFonts w:cs="Arial"/>
          <w:szCs w:val="24"/>
          <w:lang w:val="en-US"/>
        </w:rPr>
        <w:t>Ciência e Engenharia, 8(2):115-123, 1999.</w:t>
      </w:r>
    </w:p>
    <w:p w:rsidR="00A017BA" w:rsidRDefault="00A017BA" w:rsidP="00A017BA">
      <w:pPr>
        <w:autoSpaceDE w:val="0"/>
        <w:autoSpaceDN w:val="0"/>
        <w:adjustRightInd w:val="0"/>
        <w:rPr>
          <w:rFonts w:cs="Arial"/>
          <w:szCs w:val="24"/>
        </w:rPr>
      </w:pPr>
      <w:r>
        <w:rPr>
          <w:rFonts w:cs="Arial"/>
          <w:szCs w:val="24"/>
          <w:lang w:val="en-US"/>
        </w:rPr>
        <w:t xml:space="preserve">[29] DEY, N.C.; LAIK, S. Effect of temperature on intrinsic viscosity of partially hydrolyzed polyacrylamides. </w:t>
      </w:r>
      <w:r w:rsidRPr="00A017BA">
        <w:rPr>
          <w:rFonts w:cs="Arial"/>
          <w:szCs w:val="24"/>
        </w:rPr>
        <w:t xml:space="preserve">Journal Inst. Engineering. </w:t>
      </w:r>
      <w:r>
        <w:rPr>
          <w:rFonts w:cs="Arial"/>
          <w:szCs w:val="24"/>
        </w:rPr>
        <w:t>66, p. 22–24, 1986.</w:t>
      </w:r>
    </w:p>
    <w:p w:rsidR="00A017BA" w:rsidRDefault="00A017BA" w:rsidP="00A017BA">
      <w:pPr>
        <w:rPr>
          <w:rFonts w:cs="Arial"/>
          <w:szCs w:val="24"/>
          <w:lang w:val="en-US"/>
        </w:rPr>
      </w:pPr>
      <w:r>
        <w:rPr>
          <w:rFonts w:cs="Arial"/>
          <w:szCs w:val="24"/>
        </w:rPr>
        <w:t xml:space="preserve">[30] DEOSEN BIOCHEMIAL LTDA. Os tipos de gomas e suas aplicações na indústria. </w:t>
      </w:r>
      <w:r>
        <w:rPr>
          <w:rFonts w:cs="Arial"/>
          <w:szCs w:val="24"/>
          <w:lang w:val="en-US"/>
        </w:rPr>
        <w:t>Shandong, China, 1999.</w:t>
      </w:r>
    </w:p>
    <w:p w:rsidR="00A017BA" w:rsidRDefault="00A017BA" w:rsidP="00A017BA">
      <w:pPr>
        <w:autoSpaceDE w:val="0"/>
        <w:autoSpaceDN w:val="0"/>
        <w:adjustRightInd w:val="0"/>
        <w:rPr>
          <w:rFonts w:cs="Arial"/>
          <w:szCs w:val="24"/>
          <w:lang w:val="en-US"/>
        </w:rPr>
      </w:pPr>
      <w:r>
        <w:rPr>
          <w:rFonts w:cs="Arial"/>
          <w:szCs w:val="24"/>
          <w:lang w:val="en-US"/>
        </w:rPr>
        <w:t>[31] WORKING, P.K. et al. Safety of poly(ethylene glycol) and poly(ethylene glycol) derivatives. In Harris, J.M., and Zalipsky, S. (eds), Polyethylene Glycol Chemistry and Biological Applications, American Chemical Society, Washington DC, p. 45, 1997.</w:t>
      </w:r>
    </w:p>
    <w:p w:rsidR="00A017BA" w:rsidRDefault="00A017BA" w:rsidP="00A017BA">
      <w:pPr>
        <w:autoSpaceDE w:val="0"/>
        <w:autoSpaceDN w:val="0"/>
        <w:adjustRightInd w:val="0"/>
        <w:rPr>
          <w:rFonts w:cs="Arial"/>
          <w:szCs w:val="24"/>
          <w:lang w:val="en-US"/>
        </w:rPr>
      </w:pPr>
      <w:r>
        <w:rPr>
          <w:rFonts w:cs="Arial"/>
          <w:szCs w:val="24"/>
          <w:lang w:val="en-US"/>
        </w:rPr>
        <w:t>[32] RADIN, I. Solid-fluid drag reduction, Ph.D. thesis, University of Missouri-Rolla, 1974.</w:t>
      </w:r>
    </w:p>
    <w:p w:rsidR="00A017BA" w:rsidRDefault="00A017BA" w:rsidP="00A017BA">
      <w:pPr>
        <w:autoSpaceDE w:val="0"/>
        <w:autoSpaceDN w:val="0"/>
        <w:adjustRightInd w:val="0"/>
        <w:rPr>
          <w:rFonts w:cs="Arial"/>
          <w:szCs w:val="24"/>
          <w:lang w:val="en-US"/>
        </w:rPr>
      </w:pPr>
      <w:r>
        <w:rPr>
          <w:rFonts w:cs="Arial"/>
          <w:szCs w:val="24"/>
          <w:lang w:val="en-US"/>
        </w:rPr>
        <w:t>[33] LEE, P. F. W.; DUFFY, G. G. Relationships between velocity profiles and drag reduction in turbulent fiber suspension flow. AIChE Journal, vol. 22, no. 4, pp. 750–753, 1976.</w:t>
      </w:r>
    </w:p>
    <w:p w:rsidR="00A017BA" w:rsidRDefault="00A017BA" w:rsidP="00A017BA">
      <w:pPr>
        <w:autoSpaceDE w:val="0"/>
        <w:autoSpaceDN w:val="0"/>
        <w:adjustRightInd w:val="0"/>
        <w:rPr>
          <w:rFonts w:cs="Arial"/>
          <w:szCs w:val="24"/>
          <w:lang w:val="en-US"/>
        </w:rPr>
      </w:pPr>
      <w:r>
        <w:rPr>
          <w:lang w:val="en-US"/>
        </w:rPr>
        <w:t>[34] E</w:t>
      </w:r>
      <w:r>
        <w:rPr>
          <w:rFonts w:cs="Arial"/>
          <w:szCs w:val="24"/>
          <w:lang w:val="en-US"/>
        </w:rPr>
        <w:t>ICHELBERGER, Donald Paul, "Molecular interactions of water-soluble polymer blends and their effect on drag reduction in dilute aqueous solutions" (1992). Theses and Dissertations. Paper 64</w:t>
      </w:r>
    </w:p>
    <w:p w:rsidR="00A017BA" w:rsidRPr="00A017BA" w:rsidRDefault="00A017BA" w:rsidP="00A017BA">
      <w:pPr>
        <w:autoSpaceDE w:val="0"/>
        <w:autoSpaceDN w:val="0"/>
        <w:adjustRightInd w:val="0"/>
        <w:rPr>
          <w:rFonts w:cs="Arial"/>
          <w:szCs w:val="24"/>
        </w:rPr>
      </w:pPr>
      <w:r>
        <w:rPr>
          <w:rFonts w:cs="Arial"/>
          <w:szCs w:val="24"/>
          <w:lang w:val="en-US"/>
        </w:rPr>
        <w:t xml:space="preserve">[35] LEE, W. K., VASELESKI, R. C. and Metzner, A. B. (1974), Turbulent drag reduction in polymeric solutions containing suspended fibers. </w:t>
      </w:r>
      <w:r w:rsidRPr="00A017BA">
        <w:rPr>
          <w:rFonts w:cs="Arial"/>
          <w:szCs w:val="24"/>
        </w:rPr>
        <w:t>AIChE J., 20: 128–133.</w:t>
      </w:r>
    </w:p>
    <w:p w:rsidR="00A017BA" w:rsidRPr="00A017BA" w:rsidRDefault="00A017BA" w:rsidP="00A017BA">
      <w:pPr>
        <w:autoSpaceDE w:val="0"/>
        <w:autoSpaceDN w:val="0"/>
        <w:adjustRightInd w:val="0"/>
        <w:rPr>
          <w:rFonts w:cs="Arial"/>
          <w:szCs w:val="24"/>
        </w:rPr>
      </w:pPr>
      <w:r>
        <w:rPr>
          <w:rFonts w:cs="Arial"/>
          <w:szCs w:val="24"/>
        </w:rPr>
        <w:t xml:space="preserve">[36] COSTALONGA, M. L. Redução de arraste por adição de polímeros em escoamentos turbulentos em espaços anulares. </w:t>
      </w:r>
      <w:r w:rsidRPr="00A017BA">
        <w:rPr>
          <w:rFonts w:cs="Arial"/>
          <w:szCs w:val="24"/>
        </w:rPr>
        <w:t>Tese de mestrado. Universidade Federal do Espírito, Espírito Santo, Brasil, 2017.</w:t>
      </w:r>
    </w:p>
    <w:p w:rsidR="00A017BA" w:rsidRPr="00A017BA" w:rsidRDefault="00A017BA" w:rsidP="00A017BA">
      <w:pPr>
        <w:autoSpaceDE w:val="0"/>
        <w:autoSpaceDN w:val="0"/>
        <w:adjustRightInd w:val="0"/>
        <w:rPr>
          <w:rFonts w:cs="Arial"/>
          <w:szCs w:val="24"/>
        </w:rPr>
      </w:pPr>
      <w:r>
        <w:rPr>
          <w:rFonts w:cs="Arial"/>
          <w:szCs w:val="24"/>
          <w:lang w:val="en-US"/>
        </w:rPr>
        <w:t xml:space="preserve">[37] ZAKIN, J. L.; HUNSTON D. L. Effects of solvent nature on the mechanical degradation of high polymer solutions. </w:t>
      </w:r>
      <w:r w:rsidRPr="00A017BA">
        <w:rPr>
          <w:rFonts w:cs="Arial"/>
          <w:szCs w:val="24"/>
        </w:rPr>
        <w:t>Journal Appl Polym Sei, vol. 22, p. 1763-1766, 1978.</w:t>
      </w:r>
    </w:p>
    <w:p w:rsidR="00A017BA" w:rsidRPr="00A017BA" w:rsidRDefault="00A017BA" w:rsidP="00A017BA">
      <w:pPr>
        <w:autoSpaceDE w:val="0"/>
        <w:autoSpaceDN w:val="0"/>
        <w:adjustRightInd w:val="0"/>
        <w:jc w:val="left"/>
        <w:rPr>
          <w:rFonts w:cs="Arial"/>
          <w:szCs w:val="24"/>
        </w:rPr>
      </w:pPr>
      <w:r>
        <w:rPr>
          <w:rFonts w:cs="Arial"/>
          <w:szCs w:val="24"/>
        </w:rPr>
        <w:t xml:space="preserve">[38] SANDOVAL, G. A. B. Perda de eficiência em redução de atrito em escoamentos com altos números de reynolds em tubos com pressão de entrada fixa. Tese de mestrado. </w:t>
      </w:r>
      <w:r w:rsidRPr="00A017BA">
        <w:rPr>
          <w:rFonts w:cs="Arial"/>
          <w:szCs w:val="24"/>
        </w:rPr>
        <w:t>Universidade Federal do Espírito, Espírito Santo, Brasil, 2015.</w:t>
      </w:r>
    </w:p>
    <w:p w:rsidR="00A017BA" w:rsidRDefault="00A017BA" w:rsidP="00A017BA">
      <w:pPr>
        <w:autoSpaceDE w:val="0"/>
        <w:autoSpaceDN w:val="0"/>
        <w:adjustRightInd w:val="0"/>
        <w:rPr>
          <w:rFonts w:cs="Arial"/>
          <w:szCs w:val="24"/>
          <w:lang w:val="en-US"/>
        </w:rPr>
      </w:pPr>
      <w:r>
        <w:rPr>
          <w:rFonts w:cs="Arial"/>
          <w:szCs w:val="24"/>
        </w:rPr>
        <w:t xml:space="preserve">[39] PEREIRA, A. S.; SOARES, E. J. Soares. </w:t>
      </w:r>
      <w:r>
        <w:rPr>
          <w:rFonts w:cs="Arial"/>
          <w:szCs w:val="24"/>
          <w:lang w:val="en-US"/>
        </w:rPr>
        <w:t>Polymer degradation of dilute solutions in turbulent drag reducing flows in a cylindrical double gap rheometer device. Journal of Non-Newtonian Fluid Mechanics, 57, vol. 179, p. 9-22, 2012.</w:t>
      </w:r>
    </w:p>
    <w:p w:rsidR="00A017BA" w:rsidRDefault="00A017BA" w:rsidP="00A017BA">
      <w:pPr>
        <w:autoSpaceDE w:val="0"/>
        <w:autoSpaceDN w:val="0"/>
        <w:adjustRightInd w:val="0"/>
        <w:rPr>
          <w:rFonts w:cs="Arial"/>
          <w:szCs w:val="24"/>
          <w:lang w:val="en-US"/>
        </w:rPr>
      </w:pPr>
      <w:r>
        <w:rPr>
          <w:rFonts w:cs="Arial"/>
          <w:szCs w:val="24"/>
          <w:lang w:val="en-US"/>
        </w:rPr>
        <w:lastRenderedPageBreak/>
        <w:t>[40] PEREIRA, A. S.; ANDRADE, R. M.; SOARES, E. J. Drag reduction induced by flexible and rigid molecules in a turbulent flow into a rotating cylindrical double gap levice: Comparison between poly(ethylene oxide), polyacrylamide and xanthan gum. Journal of Non-Newtonian Fluid Mechanics, vol. 202, p. 72-87, 2013.</w:t>
      </w:r>
    </w:p>
    <w:p w:rsidR="00A017BA" w:rsidRDefault="00A017BA" w:rsidP="00A017BA">
      <w:pPr>
        <w:autoSpaceDE w:val="0"/>
        <w:autoSpaceDN w:val="0"/>
        <w:adjustRightInd w:val="0"/>
        <w:rPr>
          <w:rFonts w:cs="Arial"/>
          <w:szCs w:val="24"/>
          <w:lang w:val="en-US"/>
        </w:rPr>
      </w:pPr>
      <w:r>
        <w:rPr>
          <w:rFonts w:cs="Arial"/>
          <w:szCs w:val="24"/>
          <w:lang w:val="en-US"/>
        </w:rPr>
        <w:t>[41] SOARES, E. J.; SANDOVAL, G. A. B.; SILVA, L. A. S.; PEREIRA, A. S.; TREVELIN, R.; THOMAZ F. Loss of efficiency of polymeric drag reducers induced by high reynolds number flows in tubes with imposed pressure. Physics of Fluids, vol. 27, p. 125105, 2015.</w:t>
      </w:r>
    </w:p>
    <w:p w:rsidR="00DC5F69" w:rsidRDefault="00DC5F69" w:rsidP="00A017BA">
      <w:pPr>
        <w:autoSpaceDE w:val="0"/>
        <w:autoSpaceDN w:val="0"/>
        <w:adjustRightInd w:val="0"/>
        <w:rPr>
          <w:rFonts w:cs="Arial"/>
          <w:szCs w:val="24"/>
          <w:lang w:val="en-US"/>
        </w:rPr>
      </w:pPr>
      <w:r>
        <w:rPr>
          <w:rFonts w:cs="Arial"/>
          <w:szCs w:val="24"/>
          <w:lang w:val="en-US"/>
        </w:rPr>
        <w:t xml:space="preserve">[42] </w:t>
      </w:r>
      <w:r w:rsidRPr="008813B6">
        <w:rPr>
          <w:rFonts w:cs="Arial"/>
          <w:szCs w:val="24"/>
          <w:lang w:val="en-US"/>
        </w:rPr>
        <w:t>HERSHEY</w:t>
      </w:r>
      <w:r>
        <w:rPr>
          <w:rFonts w:cs="Arial"/>
          <w:szCs w:val="24"/>
          <w:lang w:val="en-US"/>
        </w:rPr>
        <w:t>,</w:t>
      </w:r>
      <w:r w:rsidRPr="008813B6">
        <w:rPr>
          <w:rFonts w:cs="Arial"/>
          <w:szCs w:val="24"/>
          <w:lang w:val="en-US"/>
        </w:rPr>
        <w:t xml:space="preserve"> </w:t>
      </w:r>
      <w:r>
        <w:rPr>
          <w:rFonts w:cs="Arial"/>
          <w:szCs w:val="24"/>
          <w:lang w:val="en-US"/>
        </w:rPr>
        <w:t>H. C.;</w:t>
      </w:r>
      <w:r w:rsidRPr="008813B6">
        <w:rPr>
          <w:rFonts w:cs="Arial"/>
          <w:szCs w:val="24"/>
          <w:lang w:val="en-US"/>
        </w:rPr>
        <w:t xml:space="preserve"> </w:t>
      </w:r>
      <w:r>
        <w:rPr>
          <w:rFonts w:cs="Arial"/>
          <w:szCs w:val="24"/>
          <w:lang w:val="en-US"/>
        </w:rPr>
        <w:t xml:space="preserve">ZAKIN, </w:t>
      </w:r>
      <w:r w:rsidRPr="008813B6">
        <w:rPr>
          <w:rFonts w:cs="Arial"/>
          <w:szCs w:val="24"/>
          <w:lang w:val="en-US"/>
        </w:rPr>
        <w:t xml:space="preserve">J. L. </w:t>
      </w:r>
      <w:r>
        <w:rPr>
          <w:rFonts w:cs="Arial"/>
          <w:szCs w:val="24"/>
          <w:lang w:val="en-US"/>
        </w:rPr>
        <w:t xml:space="preserve">Existence of two types of drag </w:t>
      </w:r>
      <w:r w:rsidRPr="008813B6">
        <w:rPr>
          <w:rFonts w:cs="Arial"/>
          <w:szCs w:val="24"/>
          <w:lang w:val="en-US"/>
        </w:rPr>
        <w:t>reduction in pipe fl</w:t>
      </w:r>
      <w:r>
        <w:rPr>
          <w:rFonts w:cs="Arial"/>
          <w:szCs w:val="24"/>
          <w:lang w:val="en-US"/>
        </w:rPr>
        <w:t>ow of dilute polymer solutions.</w:t>
      </w:r>
      <w:r w:rsidRPr="008813B6">
        <w:rPr>
          <w:rFonts w:cs="Arial"/>
          <w:szCs w:val="24"/>
          <w:lang w:val="en-US"/>
        </w:rPr>
        <w:t xml:space="preserve"> Industrial</w:t>
      </w:r>
      <w:r>
        <w:rPr>
          <w:rFonts w:cs="Arial"/>
          <w:szCs w:val="24"/>
          <w:lang w:val="en-US"/>
        </w:rPr>
        <w:t xml:space="preserve"> </w:t>
      </w:r>
      <w:r w:rsidRPr="008813B6">
        <w:rPr>
          <w:rFonts w:cs="Arial"/>
          <w:szCs w:val="24"/>
          <w:lang w:val="en-US"/>
        </w:rPr>
        <w:t>and Engineering Chemistry</w:t>
      </w:r>
      <w:r>
        <w:rPr>
          <w:rFonts w:cs="Arial"/>
          <w:szCs w:val="24"/>
          <w:lang w:val="en-US"/>
        </w:rPr>
        <w:t xml:space="preserve"> Fundamentals, vol. 6, no. 3, p</w:t>
      </w:r>
      <w:r w:rsidRPr="008813B6">
        <w:rPr>
          <w:rFonts w:cs="Arial"/>
          <w:szCs w:val="24"/>
          <w:lang w:val="en-US"/>
        </w:rPr>
        <w:t>.</w:t>
      </w:r>
      <w:r>
        <w:rPr>
          <w:rFonts w:cs="Arial"/>
          <w:szCs w:val="24"/>
          <w:lang w:val="en-US"/>
        </w:rPr>
        <w:t xml:space="preserve"> 381-</w:t>
      </w:r>
      <w:r w:rsidRPr="008813B6">
        <w:rPr>
          <w:rFonts w:cs="Arial"/>
          <w:szCs w:val="24"/>
          <w:lang w:val="en-US"/>
        </w:rPr>
        <w:t>387, 1967.</w:t>
      </w:r>
    </w:p>
    <w:p w:rsidR="00A017BA" w:rsidRDefault="00A017BA" w:rsidP="00A017BA">
      <w:pPr>
        <w:autoSpaceDE w:val="0"/>
        <w:autoSpaceDN w:val="0"/>
        <w:adjustRightInd w:val="0"/>
        <w:rPr>
          <w:rFonts w:cs="Arial"/>
          <w:szCs w:val="24"/>
          <w:lang w:val="en-US"/>
        </w:rPr>
      </w:pPr>
      <w:r>
        <w:rPr>
          <w:rFonts w:cs="Arial"/>
          <w:szCs w:val="24"/>
          <w:lang w:val="en-US"/>
        </w:rPr>
        <w:t>[43] KAMEL, A., and SHAH, S.N., Effects of salinity and temperature on drag reduction characteristics of polymers in straight circular pipes: Journal of Petroleum Science and Engineering, v. 67, iss. 1-2, p. 23-33, 2009.</w:t>
      </w:r>
    </w:p>
    <w:p w:rsidR="00A017BA" w:rsidRPr="00A017BA" w:rsidRDefault="00A017BA" w:rsidP="00A017BA">
      <w:pPr>
        <w:autoSpaceDE w:val="0"/>
        <w:autoSpaceDN w:val="0"/>
        <w:adjustRightInd w:val="0"/>
        <w:rPr>
          <w:rFonts w:cs="Arial"/>
          <w:szCs w:val="24"/>
          <w:lang w:val="en-US"/>
        </w:rPr>
      </w:pPr>
      <w:r>
        <w:rPr>
          <w:rFonts w:cs="Arial"/>
          <w:szCs w:val="24"/>
        </w:rPr>
        <w:t xml:space="preserve">[44] PROCEL. Manual de Tarifação da Energia elétrica. Ministério de Minas e Energia. Agosto de 2011. Disponível em: &lt;http://www.mme.gov.br/documents/10584/1985241/Manual%20de%20Tarif%20En%20El%20-%20Procel_EPP%20-%20Agosto-2011.pdf&gt;. </w:t>
      </w:r>
      <w:r w:rsidRPr="00A017BA">
        <w:rPr>
          <w:rFonts w:cs="Arial"/>
          <w:szCs w:val="24"/>
          <w:lang w:val="en-US"/>
        </w:rPr>
        <w:t>Acesso em 14 de julho de 2017.</w:t>
      </w:r>
    </w:p>
    <w:p w:rsidR="00A017BA" w:rsidRDefault="00A017BA" w:rsidP="00A017BA">
      <w:pPr>
        <w:autoSpaceDE w:val="0"/>
        <w:autoSpaceDN w:val="0"/>
        <w:adjustRightInd w:val="0"/>
        <w:rPr>
          <w:rFonts w:cs="Arial"/>
          <w:szCs w:val="24"/>
          <w:lang w:val="en-US"/>
        </w:rPr>
      </w:pPr>
      <w:r>
        <w:rPr>
          <w:rFonts w:cs="Arial"/>
          <w:szCs w:val="24"/>
          <w:lang w:val="en-US"/>
        </w:rPr>
        <w:t xml:space="preserve">[45] BREALEY, R., MYERS, S., ALLEN, F. Principles of corporate finance. </w:t>
      </w:r>
      <w:r w:rsidRPr="0005790E">
        <w:rPr>
          <w:rFonts w:cs="Arial"/>
          <w:szCs w:val="24"/>
          <w:lang w:val="en-US"/>
        </w:rPr>
        <w:t>10 ed. New York, NY: McGraw-Hill/Irwin, 2011.</w:t>
      </w:r>
    </w:p>
    <w:p w:rsidR="00A0628D" w:rsidRPr="00653F59" w:rsidRDefault="00A0628D" w:rsidP="00A017BA">
      <w:pPr>
        <w:autoSpaceDE w:val="0"/>
        <w:autoSpaceDN w:val="0"/>
        <w:adjustRightInd w:val="0"/>
        <w:rPr>
          <w:rFonts w:cs="Arial"/>
          <w:szCs w:val="24"/>
        </w:rPr>
      </w:pPr>
      <w:r w:rsidRPr="00A0628D">
        <w:rPr>
          <w:rFonts w:cs="Arial"/>
          <w:szCs w:val="24"/>
          <w:lang w:val="en-US"/>
        </w:rPr>
        <w:t>[46] ABDULBARI, H. A.; SHABIRIN, A.; ABDURRA</w:t>
      </w:r>
      <w:r>
        <w:rPr>
          <w:rFonts w:cs="Arial"/>
          <w:szCs w:val="24"/>
          <w:lang w:val="en-US"/>
        </w:rPr>
        <w:t xml:space="preserve">HMAN, H. N. </w:t>
      </w:r>
      <w:r w:rsidRPr="00A0628D">
        <w:rPr>
          <w:rFonts w:cs="Arial"/>
          <w:szCs w:val="24"/>
          <w:lang w:val="en-US"/>
        </w:rPr>
        <w:t>Bio-polymers for improving liquid</w:t>
      </w:r>
      <w:r>
        <w:rPr>
          <w:rFonts w:cs="Arial"/>
          <w:szCs w:val="24"/>
          <w:lang w:val="en-US"/>
        </w:rPr>
        <w:t xml:space="preserve"> flow in pipelines—A review and </w:t>
      </w:r>
      <w:r w:rsidRPr="00A0628D">
        <w:rPr>
          <w:rFonts w:cs="Arial"/>
          <w:szCs w:val="24"/>
          <w:lang w:val="en-US"/>
        </w:rPr>
        <w:t>future work opportunities</w:t>
      </w:r>
      <w:r>
        <w:rPr>
          <w:rFonts w:cs="Arial"/>
          <w:szCs w:val="24"/>
          <w:lang w:val="en-US"/>
        </w:rPr>
        <w:t xml:space="preserve">. </w:t>
      </w:r>
      <w:r w:rsidRPr="00653F59">
        <w:rPr>
          <w:rFonts w:cs="Arial"/>
          <w:szCs w:val="24"/>
        </w:rPr>
        <w:t>Journal of Industrial and Engineering Chemistry, v. 20, p. 1157-1170, 2014.</w:t>
      </w:r>
    </w:p>
    <w:p w:rsidR="00A017BA" w:rsidRDefault="00A0628D" w:rsidP="00A017BA">
      <w:pPr>
        <w:autoSpaceDE w:val="0"/>
        <w:autoSpaceDN w:val="0"/>
        <w:adjustRightInd w:val="0"/>
        <w:rPr>
          <w:rFonts w:cs="Arial"/>
          <w:szCs w:val="24"/>
        </w:rPr>
      </w:pPr>
      <w:r>
        <w:rPr>
          <w:rFonts w:cs="Arial"/>
          <w:szCs w:val="24"/>
        </w:rPr>
        <w:t>[47]</w:t>
      </w:r>
      <w:r w:rsidR="00A017BA">
        <w:rPr>
          <w:rFonts w:cs="Arial"/>
          <w:szCs w:val="24"/>
        </w:rPr>
        <w:t xml:space="preserve"> MIRANDA, Arthur B. M. Análise de viabilidade econômica de um sistema fotovoltaico conectado à rede. Universidade Federal do Rio de Janeiro, Rio de Janeiro, 2014.</w:t>
      </w:r>
    </w:p>
    <w:p w:rsidR="00A017BA" w:rsidRDefault="00A0628D" w:rsidP="00A017BA">
      <w:pPr>
        <w:autoSpaceDE w:val="0"/>
        <w:autoSpaceDN w:val="0"/>
        <w:adjustRightInd w:val="0"/>
        <w:rPr>
          <w:rFonts w:cs="Arial"/>
          <w:szCs w:val="24"/>
        </w:rPr>
      </w:pPr>
      <w:r>
        <w:rPr>
          <w:rFonts w:cs="Arial"/>
          <w:szCs w:val="24"/>
        </w:rPr>
        <w:t>[48]</w:t>
      </w:r>
      <w:r w:rsidR="00A017BA">
        <w:rPr>
          <w:rFonts w:cs="Arial"/>
          <w:szCs w:val="24"/>
        </w:rPr>
        <w:t xml:space="preserve"> NOGUEIRA, P. C. Estudo de viabilidade econômica da instalação de sistemas fotovoltaicos conectados à rede elétrica de energia do rio de janeiro: um estudo de caso. Universidade Federal do Rio de Janeiro, Rio de Janeiro, 2016.</w:t>
      </w:r>
    </w:p>
    <w:p w:rsidR="002C6728" w:rsidRDefault="00A0628D" w:rsidP="00A017BA">
      <w:pPr>
        <w:autoSpaceDE w:val="0"/>
        <w:autoSpaceDN w:val="0"/>
        <w:adjustRightInd w:val="0"/>
        <w:rPr>
          <w:rFonts w:cs="Arial"/>
          <w:szCs w:val="24"/>
          <w:lang w:val="en-US"/>
        </w:rPr>
      </w:pPr>
      <w:r>
        <w:rPr>
          <w:rFonts w:cs="Arial"/>
          <w:szCs w:val="24"/>
        </w:rPr>
        <w:t>[49]</w:t>
      </w:r>
      <w:r w:rsidR="00A017BA">
        <w:rPr>
          <w:rFonts w:cs="Arial"/>
          <w:szCs w:val="24"/>
        </w:rPr>
        <w:t xml:space="preserve"> MAXIQUIM. Exploração do gás de xisto puxa preço da goma feita com guar da Índia. Associação brasileira de engenharia química. Disponível em: &lt;</w:t>
      </w:r>
      <w:r w:rsidR="00A017BA">
        <w:t xml:space="preserve"> </w:t>
      </w:r>
      <w:r w:rsidR="00A017BA">
        <w:rPr>
          <w:rFonts w:cs="Arial"/>
          <w:szCs w:val="24"/>
        </w:rPr>
        <w:t xml:space="preserve">http://www.abeq.org.br/2013/BIM/236/clipping-exploracao.htm&gt;. </w:t>
      </w:r>
      <w:r w:rsidR="00A017BA">
        <w:rPr>
          <w:rFonts w:cs="Arial"/>
          <w:szCs w:val="24"/>
          <w:lang w:val="en-US"/>
        </w:rPr>
        <w:t>Acesso em: 20 de julho de 2017.</w:t>
      </w:r>
    </w:p>
    <w:sectPr w:rsidR="002C6728" w:rsidSect="00FF25A2">
      <w:headerReference w:type="default" r:id="rId48"/>
      <w:pgSz w:w="11906" w:h="16838"/>
      <w:pgMar w:top="1701" w:right="1134" w:bottom="1134" w:left="1701" w:header="709"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A3D" w:rsidRDefault="00BF2A3D" w:rsidP="00867976">
      <w:pPr>
        <w:spacing w:after="0" w:line="240" w:lineRule="auto"/>
      </w:pPr>
      <w:r>
        <w:separator/>
      </w:r>
    </w:p>
  </w:endnote>
  <w:endnote w:type="continuationSeparator" w:id="0">
    <w:p w:rsidR="00BF2A3D" w:rsidRDefault="00BF2A3D" w:rsidP="00867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A3D" w:rsidRDefault="00BF2A3D" w:rsidP="00867976">
      <w:pPr>
        <w:spacing w:after="0" w:line="240" w:lineRule="auto"/>
      </w:pPr>
      <w:r>
        <w:separator/>
      </w:r>
    </w:p>
  </w:footnote>
  <w:footnote w:type="continuationSeparator" w:id="0">
    <w:p w:rsidR="00BF2A3D" w:rsidRDefault="00BF2A3D" w:rsidP="008679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0259764"/>
      <w:docPartObj>
        <w:docPartGallery w:val="Page Numbers (Top of Page)"/>
        <w:docPartUnique/>
      </w:docPartObj>
    </w:sdtPr>
    <w:sdtEndPr/>
    <w:sdtContent>
      <w:p w:rsidR="00624BC8" w:rsidRDefault="00624BC8">
        <w:pPr>
          <w:pStyle w:val="Cabealho"/>
          <w:jc w:val="right"/>
        </w:pPr>
        <w:r>
          <w:fldChar w:fldCharType="begin"/>
        </w:r>
        <w:r>
          <w:instrText>PAGE   \* MERGEFORMAT</w:instrText>
        </w:r>
        <w:r>
          <w:fldChar w:fldCharType="separate"/>
        </w:r>
        <w:r w:rsidR="00D83C6E">
          <w:rPr>
            <w:noProof/>
          </w:rPr>
          <w:t>21</w:t>
        </w:r>
        <w:r>
          <w:fldChar w:fldCharType="end"/>
        </w:r>
      </w:p>
    </w:sdtContent>
  </w:sdt>
  <w:p w:rsidR="00624BC8" w:rsidRDefault="00624BC8" w:rsidP="00FF25A2">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E053A9"/>
    <w:multiLevelType w:val="hybridMultilevel"/>
    <w:tmpl w:val="62E0C1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1EB946E3"/>
    <w:multiLevelType w:val="hybridMultilevel"/>
    <w:tmpl w:val="0DEA1A90"/>
    <w:lvl w:ilvl="0" w:tplc="D20ED96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D0D111A"/>
    <w:multiLevelType w:val="hybridMultilevel"/>
    <w:tmpl w:val="65C6C1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356404A6"/>
    <w:multiLevelType w:val="hybridMultilevel"/>
    <w:tmpl w:val="24A2DA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4AB41CE1"/>
    <w:multiLevelType w:val="hybridMultilevel"/>
    <w:tmpl w:val="1B502A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6B6C5E0E"/>
    <w:multiLevelType w:val="hybridMultilevel"/>
    <w:tmpl w:val="F8E28A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743A38A9"/>
    <w:multiLevelType w:val="hybridMultilevel"/>
    <w:tmpl w:val="D12299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6"/>
  </w:num>
  <w:num w:numId="4">
    <w:abstractNumId w:val="0"/>
  </w:num>
  <w:num w:numId="5">
    <w:abstractNumId w:val="5"/>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19A"/>
    <w:rsid w:val="00002823"/>
    <w:rsid w:val="000069FA"/>
    <w:rsid w:val="00007B3E"/>
    <w:rsid w:val="000133DE"/>
    <w:rsid w:val="000153AA"/>
    <w:rsid w:val="000211AE"/>
    <w:rsid w:val="00022ADB"/>
    <w:rsid w:val="00022C7E"/>
    <w:rsid w:val="00026000"/>
    <w:rsid w:val="00027BFA"/>
    <w:rsid w:val="00027EE6"/>
    <w:rsid w:val="00030942"/>
    <w:rsid w:val="00031544"/>
    <w:rsid w:val="00033565"/>
    <w:rsid w:val="00034670"/>
    <w:rsid w:val="00040317"/>
    <w:rsid w:val="00041EB4"/>
    <w:rsid w:val="00042813"/>
    <w:rsid w:val="000452E8"/>
    <w:rsid w:val="00055D38"/>
    <w:rsid w:val="000566AA"/>
    <w:rsid w:val="0005790E"/>
    <w:rsid w:val="00057C97"/>
    <w:rsid w:val="000604CB"/>
    <w:rsid w:val="00062399"/>
    <w:rsid w:val="000626B3"/>
    <w:rsid w:val="00064C85"/>
    <w:rsid w:val="00066206"/>
    <w:rsid w:val="00066D13"/>
    <w:rsid w:val="000703D0"/>
    <w:rsid w:val="00074803"/>
    <w:rsid w:val="00075EF8"/>
    <w:rsid w:val="00077257"/>
    <w:rsid w:val="000779E7"/>
    <w:rsid w:val="00091F2F"/>
    <w:rsid w:val="00093035"/>
    <w:rsid w:val="000936CE"/>
    <w:rsid w:val="000971F4"/>
    <w:rsid w:val="000A327D"/>
    <w:rsid w:val="000A360B"/>
    <w:rsid w:val="000A4298"/>
    <w:rsid w:val="000B494E"/>
    <w:rsid w:val="000B661A"/>
    <w:rsid w:val="000B6785"/>
    <w:rsid w:val="000C333E"/>
    <w:rsid w:val="000D2758"/>
    <w:rsid w:val="000D4074"/>
    <w:rsid w:val="000E045E"/>
    <w:rsid w:val="000E0B3F"/>
    <w:rsid w:val="000E37EE"/>
    <w:rsid w:val="000E3A3E"/>
    <w:rsid w:val="000E5117"/>
    <w:rsid w:val="000F2D0C"/>
    <w:rsid w:val="000F3E86"/>
    <w:rsid w:val="000F5ED4"/>
    <w:rsid w:val="000F6768"/>
    <w:rsid w:val="000F7B98"/>
    <w:rsid w:val="000F7BD6"/>
    <w:rsid w:val="0010032A"/>
    <w:rsid w:val="00100E1D"/>
    <w:rsid w:val="001015C4"/>
    <w:rsid w:val="0010345E"/>
    <w:rsid w:val="001056EF"/>
    <w:rsid w:val="00105993"/>
    <w:rsid w:val="001144AF"/>
    <w:rsid w:val="001153BC"/>
    <w:rsid w:val="00121D84"/>
    <w:rsid w:val="00122F7D"/>
    <w:rsid w:val="00125FF0"/>
    <w:rsid w:val="001302CB"/>
    <w:rsid w:val="001302F7"/>
    <w:rsid w:val="00132082"/>
    <w:rsid w:val="00133628"/>
    <w:rsid w:val="0013511B"/>
    <w:rsid w:val="001531D8"/>
    <w:rsid w:val="00154566"/>
    <w:rsid w:val="00155BFB"/>
    <w:rsid w:val="00155C0A"/>
    <w:rsid w:val="00156BBE"/>
    <w:rsid w:val="00156E22"/>
    <w:rsid w:val="00157D2F"/>
    <w:rsid w:val="00165792"/>
    <w:rsid w:val="001661E3"/>
    <w:rsid w:val="001675C8"/>
    <w:rsid w:val="00171B29"/>
    <w:rsid w:val="00172506"/>
    <w:rsid w:val="00172AD8"/>
    <w:rsid w:val="00173873"/>
    <w:rsid w:val="00173F45"/>
    <w:rsid w:val="00174ACC"/>
    <w:rsid w:val="0017609F"/>
    <w:rsid w:val="0017656F"/>
    <w:rsid w:val="00176AE3"/>
    <w:rsid w:val="001806D4"/>
    <w:rsid w:val="00182C81"/>
    <w:rsid w:val="00183DF2"/>
    <w:rsid w:val="00183FCE"/>
    <w:rsid w:val="00185B20"/>
    <w:rsid w:val="00185E7B"/>
    <w:rsid w:val="00186081"/>
    <w:rsid w:val="0018665C"/>
    <w:rsid w:val="00186A98"/>
    <w:rsid w:val="00186BCD"/>
    <w:rsid w:val="001A1BCE"/>
    <w:rsid w:val="001A4081"/>
    <w:rsid w:val="001A6992"/>
    <w:rsid w:val="001B08C8"/>
    <w:rsid w:val="001B2AB4"/>
    <w:rsid w:val="001D293A"/>
    <w:rsid w:val="001D7158"/>
    <w:rsid w:val="001D7C49"/>
    <w:rsid w:val="001E028A"/>
    <w:rsid w:val="001E03D0"/>
    <w:rsid w:val="001E24EE"/>
    <w:rsid w:val="001E6658"/>
    <w:rsid w:val="001E6E67"/>
    <w:rsid w:val="001E77F9"/>
    <w:rsid w:val="001F01E2"/>
    <w:rsid w:val="001F0D12"/>
    <w:rsid w:val="001F2710"/>
    <w:rsid w:val="001F4796"/>
    <w:rsid w:val="001F530B"/>
    <w:rsid w:val="001F5D5E"/>
    <w:rsid w:val="00212987"/>
    <w:rsid w:val="00213154"/>
    <w:rsid w:val="002165F9"/>
    <w:rsid w:val="00223E76"/>
    <w:rsid w:val="0022508E"/>
    <w:rsid w:val="00226065"/>
    <w:rsid w:val="0023323B"/>
    <w:rsid w:val="00237ABB"/>
    <w:rsid w:val="00241891"/>
    <w:rsid w:val="00241E7B"/>
    <w:rsid w:val="002434CC"/>
    <w:rsid w:val="002435D4"/>
    <w:rsid w:val="0024372A"/>
    <w:rsid w:val="00246E08"/>
    <w:rsid w:val="0026056F"/>
    <w:rsid w:val="00260E6B"/>
    <w:rsid w:val="0026498E"/>
    <w:rsid w:val="00267F43"/>
    <w:rsid w:val="002747CE"/>
    <w:rsid w:val="002755B6"/>
    <w:rsid w:val="00275C2B"/>
    <w:rsid w:val="00276B98"/>
    <w:rsid w:val="002801C7"/>
    <w:rsid w:val="0028166C"/>
    <w:rsid w:val="002855BE"/>
    <w:rsid w:val="0028625A"/>
    <w:rsid w:val="002917BE"/>
    <w:rsid w:val="002922F2"/>
    <w:rsid w:val="002940DA"/>
    <w:rsid w:val="00295AC9"/>
    <w:rsid w:val="002A0CC3"/>
    <w:rsid w:val="002A2FCC"/>
    <w:rsid w:val="002A3587"/>
    <w:rsid w:val="002A40C6"/>
    <w:rsid w:val="002A4EB6"/>
    <w:rsid w:val="002A699C"/>
    <w:rsid w:val="002A719D"/>
    <w:rsid w:val="002B0601"/>
    <w:rsid w:val="002B09BB"/>
    <w:rsid w:val="002B3A7D"/>
    <w:rsid w:val="002B421B"/>
    <w:rsid w:val="002B4971"/>
    <w:rsid w:val="002B49E7"/>
    <w:rsid w:val="002C303F"/>
    <w:rsid w:val="002C6728"/>
    <w:rsid w:val="002D0953"/>
    <w:rsid w:val="002D3358"/>
    <w:rsid w:val="002D4193"/>
    <w:rsid w:val="002D4B85"/>
    <w:rsid w:val="002E1D06"/>
    <w:rsid w:val="002E3D81"/>
    <w:rsid w:val="002E5264"/>
    <w:rsid w:val="002E6FDC"/>
    <w:rsid w:val="002E71FE"/>
    <w:rsid w:val="002F27B3"/>
    <w:rsid w:val="0030199A"/>
    <w:rsid w:val="003038C8"/>
    <w:rsid w:val="00310781"/>
    <w:rsid w:val="003139F3"/>
    <w:rsid w:val="00320E34"/>
    <w:rsid w:val="00326E8E"/>
    <w:rsid w:val="0033264A"/>
    <w:rsid w:val="003451C3"/>
    <w:rsid w:val="00352CB1"/>
    <w:rsid w:val="00354958"/>
    <w:rsid w:val="003566F3"/>
    <w:rsid w:val="003608BF"/>
    <w:rsid w:val="003632C8"/>
    <w:rsid w:val="003650D9"/>
    <w:rsid w:val="00367A8F"/>
    <w:rsid w:val="0037019F"/>
    <w:rsid w:val="0037044C"/>
    <w:rsid w:val="00370D56"/>
    <w:rsid w:val="00371925"/>
    <w:rsid w:val="00372A93"/>
    <w:rsid w:val="00380A8E"/>
    <w:rsid w:val="003821FC"/>
    <w:rsid w:val="0038314C"/>
    <w:rsid w:val="00387022"/>
    <w:rsid w:val="00396B67"/>
    <w:rsid w:val="003977E9"/>
    <w:rsid w:val="003A1859"/>
    <w:rsid w:val="003A204A"/>
    <w:rsid w:val="003A44A8"/>
    <w:rsid w:val="003A7561"/>
    <w:rsid w:val="003B1D12"/>
    <w:rsid w:val="003B28CC"/>
    <w:rsid w:val="003B3436"/>
    <w:rsid w:val="003B3577"/>
    <w:rsid w:val="003B6DE8"/>
    <w:rsid w:val="003B7E6D"/>
    <w:rsid w:val="003C0E22"/>
    <w:rsid w:val="003C1209"/>
    <w:rsid w:val="003C6836"/>
    <w:rsid w:val="003C723C"/>
    <w:rsid w:val="003D1FBC"/>
    <w:rsid w:val="003D49DF"/>
    <w:rsid w:val="003E11B7"/>
    <w:rsid w:val="003E466A"/>
    <w:rsid w:val="003F4B46"/>
    <w:rsid w:val="0040258B"/>
    <w:rsid w:val="00402A61"/>
    <w:rsid w:val="00413765"/>
    <w:rsid w:val="00413B78"/>
    <w:rsid w:val="00415F74"/>
    <w:rsid w:val="00416779"/>
    <w:rsid w:val="0041731E"/>
    <w:rsid w:val="00420719"/>
    <w:rsid w:val="00423FE7"/>
    <w:rsid w:val="00425F3C"/>
    <w:rsid w:val="00426359"/>
    <w:rsid w:val="004268B9"/>
    <w:rsid w:val="0043213A"/>
    <w:rsid w:val="004351C8"/>
    <w:rsid w:val="004353D2"/>
    <w:rsid w:val="00435949"/>
    <w:rsid w:val="00437B3F"/>
    <w:rsid w:val="00441195"/>
    <w:rsid w:val="00447731"/>
    <w:rsid w:val="00450291"/>
    <w:rsid w:val="004502A9"/>
    <w:rsid w:val="00450364"/>
    <w:rsid w:val="0045300B"/>
    <w:rsid w:val="0045612D"/>
    <w:rsid w:val="00457259"/>
    <w:rsid w:val="00466AF8"/>
    <w:rsid w:val="00467F13"/>
    <w:rsid w:val="004708CC"/>
    <w:rsid w:val="004720D5"/>
    <w:rsid w:val="00475CC5"/>
    <w:rsid w:val="004808D9"/>
    <w:rsid w:val="00481AD5"/>
    <w:rsid w:val="00481D00"/>
    <w:rsid w:val="00482755"/>
    <w:rsid w:val="0048783F"/>
    <w:rsid w:val="00487DF7"/>
    <w:rsid w:val="00490D49"/>
    <w:rsid w:val="00491D21"/>
    <w:rsid w:val="00492647"/>
    <w:rsid w:val="004963FA"/>
    <w:rsid w:val="004A1326"/>
    <w:rsid w:val="004A3F73"/>
    <w:rsid w:val="004A7663"/>
    <w:rsid w:val="004B3EC2"/>
    <w:rsid w:val="004B4591"/>
    <w:rsid w:val="004B4920"/>
    <w:rsid w:val="004B5AEA"/>
    <w:rsid w:val="004B7534"/>
    <w:rsid w:val="004B7582"/>
    <w:rsid w:val="004B7B38"/>
    <w:rsid w:val="004B7BEE"/>
    <w:rsid w:val="004C1967"/>
    <w:rsid w:val="004C1D84"/>
    <w:rsid w:val="004C240D"/>
    <w:rsid w:val="004C40DE"/>
    <w:rsid w:val="004C5D70"/>
    <w:rsid w:val="004D2E29"/>
    <w:rsid w:val="004D3E75"/>
    <w:rsid w:val="004D4224"/>
    <w:rsid w:val="004D54CD"/>
    <w:rsid w:val="004D652E"/>
    <w:rsid w:val="004D7821"/>
    <w:rsid w:val="004E24A6"/>
    <w:rsid w:val="004E4594"/>
    <w:rsid w:val="004E5F70"/>
    <w:rsid w:val="004F2D76"/>
    <w:rsid w:val="005006B6"/>
    <w:rsid w:val="0050082E"/>
    <w:rsid w:val="0050114A"/>
    <w:rsid w:val="005019CD"/>
    <w:rsid w:val="0050241D"/>
    <w:rsid w:val="00502BD9"/>
    <w:rsid w:val="00503994"/>
    <w:rsid w:val="00503EAD"/>
    <w:rsid w:val="005047ED"/>
    <w:rsid w:val="0051213F"/>
    <w:rsid w:val="0051262F"/>
    <w:rsid w:val="0051288C"/>
    <w:rsid w:val="0051480C"/>
    <w:rsid w:val="00515A7B"/>
    <w:rsid w:val="00522172"/>
    <w:rsid w:val="0052222B"/>
    <w:rsid w:val="005341EF"/>
    <w:rsid w:val="005341FE"/>
    <w:rsid w:val="00534C09"/>
    <w:rsid w:val="00535DC2"/>
    <w:rsid w:val="00536102"/>
    <w:rsid w:val="005379F6"/>
    <w:rsid w:val="00540820"/>
    <w:rsid w:val="0054419C"/>
    <w:rsid w:val="005445F8"/>
    <w:rsid w:val="00546C5E"/>
    <w:rsid w:val="00552EB5"/>
    <w:rsid w:val="00554883"/>
    <w:rsid w:val="005566CA"/>
    <w:rsid w:val="00557AB3"/>
    <w:rsid w:val="0056133D"/>
    <w:rsid w:val="00564188"/>
    <w:rsid w:val="00564411"/>
    <w:rsid w:val="00566AF7"/>
    <w:rsid w:val="00567F01"/>
    <w:rsid w:val="005721A4"/>
    <w:rsid w:val="00573549"/>
    <w:rsid w:val="0057780A"/>
    <w:rsid w:val="00580230"/>
    <w:rsid w:val="005843D1"/>
    <w:rsid w:val="0058448B"/>
    <w:rsid w:val="00586135"/>
    <w:rsid w:val="00586706"/>
    <w:rsid w:val="00593441"/>
    <w:rsid w:val="005943B5"/>
    <w:rsid w:val="00597361"/>
    <w:rsid w:val="00597884"/>
    <w:rsid w:val="005A1E88"/>
    <w:rsid w:val="005A4095"/>
    <w:rsid w:val="005A7B1E"/>
    <w:rsid w:val="005B3203"/>
    <w:rsid w:val="005B3CE8"/>
    <w:rsid w:val="005B705A"/>
    <w:rsid w:val="005C0B54"/>
    <w:rsid w:val="005C12D3"/>
    <w:rsid w:val="005C1F1F"/>
    <w:rsid w:val="005C3C05"/>
    <w:rsid w:val="005D1FD6"/>
    <w:rsid w:val="005D4DF8"/>
    <w:rsid w:val="005D4E46"/>
    <w:rsid w:val="005D7278"/>
    <w:rsid w:val="005D7F4E"/>
    <w:rsid w:val="005E29BA"/>
    <w:rsid w:val="005E3D3B"/>
    <w:rsid w:val="005E7B36"/>
    <w:rsid w:val="005E7F4E"/>
    <w:rsid w:val="005F09DB"/>
    <w:rsid w:val="005F302C"/>
    <w:rsid w:val="005F302D"/>
    <w:rsid w:val="005F3DE0"/>
    <w:rsid w:val="005F5F93"/>
    <w:rsid w:val="005F6593"/>
    <w:rsid w:val="00601524"/>
    <w:rsid w:val="006015E4"/>
    <w:rsid w:val="00602083"/>
    <w:rsid w:val="00603931"/>
    <w:rsid w:val="006040DA"/>
    <w:rsid w:val="006128B6"/>
    <w:rsid w:val="00612958"/>
    <w:rsid w:val="0061311A"/>
    <w:rsid w:val="00613678"/>
    <w:rsid w:val="00613E4B"/>
    <w:rsid w:val="00616CED"/>
    <w:rsid w:val="00617912"/>
    <w:rsid w:val="00617E57"/>
    <w:rsid w:val="00620CB6"/>
    <w:rsid w:val="0062259F"/>
    <w:rsid w:val="006229CA"/>
    <w:rsid w:val="00622B67"/>
    <w:rsid w:val="006230B0"/>
    <w:rsid w:val="0062360D"/>
    <w:rsid w:val="00624BC8"/>
    <w:rsid w:val="00634F43"/>
    <w:rsid w:val="00636CC2"/>
    <w:rsid w:val="00645EB3"/>
    <w:rsid w:val="00646BC6"/>
    <w:rsid w:val="0065014B"/>
    <w:rsid w:val="00651DD0"/>
    <w:rsid w:val="00653F59"/>
    <w:rsid w:val="00654F02"/>
    <w:rsid w:val="006620EC"/>
    <w:rsid w:val="0066628D"/>
    <w:rsid w:val="006749C4"/>
    <w:rsid w:val="00674E9E"/>
    <w:rsid w:val="00680703"/>
    <w:rsid w:val="00684EA6"/>
    <w:rsid w:val="00686A51"/>
    <w:rsid w:val="00686D00"/>
    <w:rsid w:val="00686EBE"/>
    <w:rsid w:val="00690064"/>
    <w:rsid w:val="00691E57"/>
    <w:rsid w:val="00693238"/>
    <w:rsid w:val="00693519"/>
    <w:rsid w:val="006A05F9"/>
    <w:rsid w:val="006A4F89"/>
    <w:rsid w:val="006A5F1D"/>
    <w:rsid w:val="006A6ED1"/>
    <w:rsid w:val="006B0679"/>
    <w:rsid w:val="006B23D8"/>
    <w:rsid w:val="006B3C5E"/>
    <w:rsid w:val="006B3ECB"/>
    <w:rsid w:val="006C2E16"/>
    <w:rsid w:val="006C5774"/>
    <w:rsid w:val="006C6F09"/>
    <w:rsid w:val="006D1859"/>
    <w:rsid w:val="006D2D0B"/>
    <w:rsid w:val="006D6AA3"/>
    <w:rsid w:val="006E1A9E"/>
    <w:rsid w:val="006E4BDA"/>
    <w:rsid w:val="006E57FF"/>
    <w:rsid w:val="006F20A4"/>
    <w:rsid w:val="006F62CC"/>
    <w:rsid w:val="006F7B8C"/>
    <w:rsid w:val="007002A9"/>
    <w:rsid w:val="007024E4"/>
    <w:rsid w:val="00705755"/>
    <w:rsid w:val="00706926"/>
    <w:rsid w:val="00711D1F"/>
    <w:rsid w:val="007129FB"/>
    <w:rsid w:val="00715698"/>
    <w:rsid w:val="007200F4"/>
    <w:rsid w:val="00721C99"/>
    <w:rsid w:val="007225B7"/>
    <w:rsid w:val="00722A59"/>
    <w:rsid w:val="00723209"/>
    <w:rsid w:val="00723CE9"/>
    <w:rsid w:val="0072502C"/>
    <w:rsid w:val="007317B0"/>
    <w:rsid w:val="00731E0E"/>
    <w:rsid w:val="00735CAB"/>
    <w:rsid w:val="0073641D"/>
    <w:rsid w:val="00741E22"/>
    <w:rsid w:val="00750DDF"/>
    <w:rsid w:val="0075144C"/>
    <w:rsid w:val="00752D30"/>
    <w:rsid w:val="007536BC"/>
    <w:rsid w:val="00754585"/>
    <w:rsid w:val="00755B7F"/>
    <w:rsid w:val="00760009"/>
    <w:rsid w:val="00760D50"/>
    <w:rsid w:val="00762075"/>
    <w:rsid w:val="007664CD"/>
    <w:rsid w:val="00766644"/>
    <w:rsid w:val="00771C7D"/>
    <w:rsid w:val="00772747"/>
    <w:rsid w:val="007768F0"/>
    <w:rsid w:val="00777477"/>
    <w:rsid w:val="00777939"/>
    <w:rsid w:val="00777B76"/>
    <w:rsid w:val="007817BA"/>
    <w:rsid w:val="007820FA"/>
    <w:rsid w:val="00783619"/>
    <w:rsid w:val="007875F5"/>
    <w:rsid w:val="007902F3"/>
    <w:rsid w:val="007914CA"/>
    <w:rsid w:val="007961EC"/>
    <w:rsid w:val="00796B02"/>
    <w:rsid w:val="00796B55"/>
    <w:rsid w:val="0079718D"/>
    <w:rsid w:val="00797B10"/>
    <w:rsid w:val="007A0FCB"/>
    <w:rsid w:val="007A5D5F"/>
    <w:rsid w:val="007A7184"/>
    <w:rsid w:val="007A7A7D"/>
    <w:rsid w:val="007B4849"/>
    <w:rsid w:val="007B51DB"/>
    <w:rsid w:val="007B6E11"/>
    <w:rsid w:val="007B7B53"/>
    <w:rsid w:val="007C0A7C"/>
    <w:rsid w:val="007C1BE4"/>
    <w:rsid w:val="007C3241"/>
    <w:rsid w:val="007C6CCF"/>
    <w:rsid w:val="007D04AD"/>
    <w:rsid w:val="007D10D0"/>
    <w:rsid w:val="007D3B23"/>
    <w:rsid w:val="007D7BE9"/>
    <w:rsid w:val="007E0BC1"/>
    <w:rsid w:val="007E372D"/>
    <w:rsid w:val="007E4ADD"/>
    <w:rsid w:val="007E5F0D"/>
    <w:rsid w:val="007E5F84"/>
    <w:rsid w:val="007E67C1"/>
    <w:rsid w:val="007E6B21"/>
    <w:rsid w:val="007E7A89"/>
    <w:rsid w:val="007F06CF"/>
    <w:rsid w:val="007F0A6C"/>
    <w:rsid w:val="007F0FFC"/>
    <w:rsid w:val="007F35EE"/>
    <w:rsid w:val="007F6762"/>
    <w:rsid w:val="007F755C"/>
    <w:rsid w:val="008006D4"/>
    <w:rsid w:val="008017B9"/>
    <w:rsid w:val="00802C30"/>
    <w:rsid w:val="00805B7A"/>
    <w:rsid w:val="008077A6"/>
    <w:rsid w:val="008079F0"/>
    <w:rsid w:val="00810694"/>
    <w:rsid w:val="00815BA0"/>
    <w:rsid w:val="0082082B"/>
    <w:rsid w:val="00821983"/>
    <w:rsid w:val="00823847"/>
    <w:rsid w:val="00825AA1"/>
    <w:rsid w:val="00831975"/>
    <w:rsid w:val="008328EC"/>
    <w:rsid w:val="00836701"/>
    <w:rsid w:val="00836B2B"/>
    <w:rsid w:val="008373CD"/>
    <w:rsid w:val="0084113D"/>
    <w:rsid w:val="00841566"/>
    <w:rsid w:val="00845B8D"/>
    <w:rsid w:val="00847EF2"/>
    <w:rsid w:val="00850E98"/>
    <w:rsid w:val="008513A1"/>
    <w:rsid w:val="008559B7"/>
    <w:rsid w:val="00861D97"/>
    <w:rsid w:val="00862B53"/>
    <w:rsid w:val="00862D37"/>
    <w:rsid w:val="008645B0"/>
    <w:rsid w:val="00865455"/>
    <w:rsid w:val="0086741F"/>
    <w:rsid w:val="00867976"/>
    <w:rsid w:val="00872B07"/>
    <w:rsid w:val="00874408"/>
    <w:rsid w:val="008813B6"/>
    <w:rsid w:val="0088319B"/>
    <w:rsid w:val="00885CFE"/>
    <w:rsid w:val="00886DF8"/>
    <w:rsid w:val="00887065"/>
    <w:rsid w:val="008B4C3E"/>
    <w:rsid w:val="008B4F31"/>
    <w:rsid w:val="008B67CF"/>
    <w:rsid w:val="008B751A"/>
    <w:rsid w:val="008C11F2"/>
    <w:rsid w:val="008C1EF4"/>
    <w:rsid w:val="008C2AA5"/>
    <w:rsid w:val="008C395C"/>
    <w:rsid w:val="008C53E8"/>
    <w:rsid w:val="008C6098"/>
    <w:rsid w:val="008C6988"/>
    <w:rsid w:val="008D1ADE"/>
    <w:rsid w:val="008D1BA6"/>
    <w:rsid w:val="008D2C5E"/>
    <w:rsid w:val="008D3288"/>
    <w:rsid w:val="008E06BA"/>
    <w:rsid w:val="008E147F"/>
    <w:rsid w:val="008E2AA9"/>
    <w:rsid w:val="008E3DAA"/>
    <w:rsid w:val="008E42FE"/>
    <w:rsid w:val="008E4AE0"/>
    <w:rsid w:val="008F04AE"/>
    <w:rsid w:val="008F1B88"/>
    <w:rsid w:val="008F1BED"/>
    <w:rsid w:val="008F22A6"/>
    <w:rsid w:val="008F33B9"/>
    <w:rsid w:val="008F4FE3"/>
    <w:rsid w:val="008F64B4"/>
    <w:rsid w:val="008F7E31"/>
    <w:rsid w:val="00911BCE"/>
    <w:rsid w:val="00911F90"/>
    <w:rsid w:val="00912C96"/>
    <w:rsid w:val="009149A8"/>
    <w:rsid w:val="009171CC"/>
    <w:rsid w:val="00921CDB"/>
    <w:rsid w:val="00922551"/>
    <w:rsid w:val="00923516"/>
    <w:rsid w:val="00923E69"/>
    <w:rsid w:val="00923FFA"/>
    <w:rsid w:val="00925981"/>
    <w:rsid w:val="009271FE"/>
    <w:rsid w:val="0092722B"/>
    <w:rsid w:val="00936B26"/>
    <w:rsid w:val="0093786C"/>
    <w:rsid w:val="009405E1"/>
    <w:rsid w:val="00940769"/>
    <w:rsid w:val="00943CE9"/>
    <w:rsid w:val="00950925"/>
    <w:rsid w:val="0095117A"/>
    <w:rsid w:val="00952F5B"/>
    <w:rsid w:val="00953BBC"/>
    <w:rsid w:val="0095518B"/>
    <w:rsid w:val="0096395E"/>
    <w:rsid w:val="00964A89"/>
    <w:rsid w:val="00964B91"/>
    <w:rsid w:val="00971E1D"/>
    <w:rsid w:val="0097480F"/>
    <w:rsid w:val="00974DED"/>
    <w:rsid w:val="009777E4"/>
    <w:rsid w:val="00980A8B"/>
    <w:rsid w:val="00983CDA"/>
    <w:rsid w:val="00984DD7"/>
    <w:rsid w:val="009863A2"/>
    <w:rsid w:val="0098782E"/>
    <w:rsid w:val="0099119A"/>
    <w:rsid w:val="009925D0"/>
    <w:rsid w:val="00996EF0"/>
    <w:rsid w:val="0099718A"/>
    <w:rsid w:val="009A35A0"/>
    <w:rsid w:val="009A3683"/>
    <w:rsid w:val="009A7836"/>
    <w:rsid w:val="009B276C"/>
    <w:rsid w:val="009B64C6"/>
    <w:rsid w:val="009B71BC"/>
    <w:rsid w:val="009B7603"/>
    <w:rsid w:val="009B7B0F"/>
    <w:rsid w:val="009C2C16"/>
    <w:rsid w:val="009C4423"/>
    <w:rsid w:val="009D358A"/>
    <w:rsid w:val="009E09CA"/>
    <w:rsid w:val="009E0EE1"/>
    <w:rsid w:val="009E309B"/>
    <w:rsid w:val="009E5959"/>
    <w:rsid w:val="009E629B"/>
    <w:rsid w:val="009F0977"/>
    <w:rsid w:val="009F0B1F"/>
    <w:rsid w:val="009F2BD1"/>
    <w:rsid w:val="009F56AF"/>
    <w:rsid w:val="009F73DE"/>
    <w:rsid w:val="009F7E75"/>
    <w:rsid w:val="00A017BA"/>
    <w:rsid w:val="00A0628D"/>
    <w:rsid w:val="00A11265"/>
    <w:rsid w:val="00A1255C"/>
    <w:rsid w:val="00A15B48"/>
    <w:rsid w:val="00A16BA1"/>
    <w:rsid w:val="00A179B8"/>
    <w:rsid w:val="00A17D9C"/>
    <w:rsid w:val="00A2236F"/>
    <w:rsid w:val="00A2288C"/>
    <w:rsid w:val="00A23653"/>
    <w:rsid w:val="00A3054E"/>
    <w:rsid w:val="00A33BB4"/>
    <w:rsid w:val="00A33F8B"/>
    <w:rsid w:val="00A4276A"/>
    <w:rsid w:val="00A42C4C"/>
    <w:rsid w:val="00A5512C"/>
    <w:rsid w:val="00A557B4"/>
    <w:rsid w:val="00A57A99"/>
    <w:rsid w:val="00A63D5B"/>
    <w:rsid w:val="00A72F4C"/>
    <w:rsid w:val="00A738B1"/>
    <w:rsid w:val="00A767BE"/>
    <w:rsid w:val="00A76C64"/>
    <w:rsid w:val="00A77033"/>
    <w:rsid w:val="00A80B6B"/>
    <w:rsid w:val="00A8333B"/>
    <w:rsid w:val="00A83C32"/>
    <w:rsid w:val="00A8483C"/>
    <w:rsid w:val="00A85092"/>
    <w:rsid w:val="00A86CE4"/>
    <w:rsid w:val="00A9236E"/>
    <w:rsid w:val="00AA080E"/>
    <w:rsid w:val="00AB0BCF"/>
    <w:rsid w:val="00AB4C35"/>
    <w:rsid w:val="00AC3E79"/>
    <w:rsid w:val="00AD2E9B"/>
    <w:rsid w:val="00AE2160"/>
    <w:rsid w:val="00AE4DB5"/>
    <w:rsid w:val="00AE4EF1"/>
    <w:rsid w:val="00AE579F"/>
    <w:rsid w:val="00AF0D12"/>
    <w:rsid w:val="00AF2101"/>
    <w:rsid w:val="00AF2242"/>
    <w:rsid w:val="00AF647A"/>
    <w:rsid w:val="00AF6A71"/>
    <w:rsid w:val="00B0120C"/>
    <w:rsid w:val="00B0464E"/>
    <w:rsid w:val="00B100A1"/>
    <w:rsid w:val="00B12BD8"/>
    <w:rsid w:val="00B13F9B"/>
    <w:rsid w:val="00B1667D"/>
    <w:rsid w:val="00B16A13"/>
    <w:rsid w:val="00B202F2"/>
    <w:rsid w:val="00B240E7"/>
    <w:rsid w:val="00B2484D"/>
    <w:rsid w:val="00B25143"/>
    <w:rsid w:val="00B2521E"/>
    <w:rsid w:val="00B26CD0"/>
    <w:rsid w:val="00B27944"/>
    <w:rsid w:val="00B30CB9"/>
    <w:rsid w:val="00B32A1A"/>
    <w:rsid w:val="00B32DD2"/>
    <w:rsid w:val="00B35767"/>
    <w:rsid w:val="00B433B3"/>
    <w:rsid w:val="00B47EF6"/>
    <w:rsid w:val="00B57856"/>
    <w:rsid w:val="00B61121"/>
    <w:rsid w:val="00B64E43"/>
    <w:rsid w:val="00B67492"/>
    <w:rsid w:val="00B679AE"/>
    <w:rsid w:val="00B67D55"/>
    <w:rsid w:val="00B704A3"/>
    <w:rsid w:val="00B71A7F"/>
    <w:rsid w:val="00B77F0A"/>
    <w:rsid w:val="00B81D94"/>
    <w:rsid w:val="00B83733"/>
    <w:rsid w:val="00B86434"/>
    <w:rsid w:val="00B93274"/>
    <w:rsid w:val="00BA081B"/>
    <w:rsid w:val="00BA1FB9"/>
    <w:rsid w:val="00BA35B3"/>
    <w:rsid w:val="00BA574B"/>
    <w:rsid w:val="00BB16B2"/>
    <w:rsid w:val="00BB693D"/>
    <w:rsid w:val="00BB780A"/>
    <w:rsid w:val="00BB7C1B"/>
    <w:rsid w:val="00BB7E22"/>
    <w:rsid w:val="00BC078D"/>
    <w:rsid w:val="00BC094A"/>
    <w:rsid w:val="00BC1CCC"/>
    <w:rsid w:val="00BC1D6E"/>
    <w:rsid w:val="00BC6260"/>
    <w:rsid w:val="00BC6BA5"/>
    <w:rsid w:val="00BC6DC6"/>
    <w:rsid w:val="00BD1632"/>
    <w:rsid w:val="00BD166E"/>
    <w:rsid w:val="00BD16CD"/>
    <w:rsid w:val="00BD28B9"/>
    <w:rsid w:val="00BD3ADE"/>
    <w:rsid w:val="00BD504C"/>
    <w:rsid w:val="00BE2021"/>
    <w:rsid w:val="00BE3190"/>
    <w:rsid w:val="00BE3A42"/>
    <w:rsid w:val="00BF27F1"/>
    <w:rsid w:val="00BF2A3D"/>
    <w:rsid w:val="00BF4D80"/>
    <w:rsid w:val="00BF5895"/>
    <w:rsid w:val="00BF77CB"/>
    <w:rsid w:val="00C00703"/>
    <w:rsid w:val="00C00C5A"/>
    <w:rsid w:val="00C04926"/>
    <w:rsid w:val="00C100C0"/>
    <w:rsid w:val="00C12CCF"/>
    <w:rsid w:val="00C1603C"/>
    <w:rsid w:val="00C21094"/>
    <w:rsid w:val="00C259E9"/>
    <w:rsid w:val="00C3181F"/>
    <w:rsid w:val="00C3204F"/>
    <w:rsid w:val="00C34AD8"/>
    <w:rsid w:val="00C41BE3"/>
    <w:rsid w:val="00C423E7"/>
    <w:rsid w:val="00C42E57"/>
    <w:rsid w:val="00C4401D"/>
    <w:rsid w:val="00C44733"/>
    <w:rsid w:val="00C505C6"/>
    <w:rsid w:val="00C55C0D"/>
    <w:rsid w:val="00C630DD"/>
    <w:rsid w:val="00C63983"/>
    <w:rsid w:val="00C66C17"/>
    <w:rsid w:val="00C712C9"/>
    <w:rsid w:val="00C71F11"/>
    <w:rsid w:val="00C74315"/>
    <w:rsid w:val="00C75E31"/>
    <w:rsid w:val="00C77FB3"/>
    <w:rsid w:val="00C8282E"/>
    <w:rsid w:val="00C839A4"/>
    <w:rsid w:val="00C84AA7"/>
    <w:rsid w:val="00C91006"/>
    <w:rsid w:val="00C91A0F"/>
    <w:rsid w:val="00C924A9"/>
    <w:rsid w:val="00C97579"/>
    <w:rsid w:val="00CA04A0"/>
    <w:rsid w:val="00CA2330"/>
    <w:rsid w:val="00CA547D"/>
    <w:rsid w:val="00CB0CA2"/>
    <w:rsid w:val="00CB55B1"/>
    <w:rsid w:val="00CB56A7"/>
    <w:rsid w:val="00CB65BD"/>
    <w:rsid w:val="00CC07CA"/>
    <w:rsid w:val="00CC3C7A"/>
    <w:rsid w:val="00CC483C"/>
    <w:rsid w:val="00CC52A2"/>
    <w:rsid w:val="00CC7A80"/>
    <w:rsid w:val="00CD0005"/>
    <w:rsid w:val="00CD4FE8"/>
    <w:rsid w:val="00CD6C03"/>
    <w:rsid w:val="00CD77DA"/>
    <w:rsid w:val="00CE1A37"/>
    <w:rsid w:val="00CE4D9F"/>
    <w:rsid w:val="00CE5977"/>
    <w:rsid w:val="00CE6311"/>
    <w:rsid w:val="00CF1DFD"/>
    <w:rsid w:val="00CF22F4"/>
    <w:rsid w:val="00CF7C12"/>
    <w:rsid w:val="00D0179E"/>
    <w:rsid w:val="00D039B2"/>
    <w:rsid w:val="00D16A85"/>
    <w:rsid w:val="00D1749D"/>
    <w:rsid w:val="00D22436"/>
    <w:rsid w:val="00D33DA4"/>
    <w:rsid w:val="00D34CD7"/>
    <w:rsid w:val="00D365FD"/>
    <w:rsid w:val="00D377E7"/>
    <w:rsid w:val="00D40D16"/>
    <w:rsid w:val="00D40ECB"/>
    <w:rsid w:val="00D42674"/>
    <w:rsid w:val="00D43212"/>
    <w:rsid w:val="00D50823"/>
    <w:rsid w:val="00D60C77"/>
    <w:rsid w:val="00D641DE"/>
    <w:rsid w:val="00D64BDD"/>
    <w:rsid w:val="00D6626D"/>
    <w:rsid w:val="00D67ACC"/>
    <w:rsid w:val="00D73A44"/>
    <w:rsid w:val="00D76796"/>
    <w:rsid w:val="00D812BB"/>
    <w:rsid w:val="00D81A93"/>
    <w:rsid w:val="00D81E18"/>
    <w:rsid w:val="00D83A1A"/>
    <w:rsid w:val="00D83C6E"/>
    <w:rsid w:val="00D850A7"/>
    <w:rsid w:val="00D850A8"/>
    <w:rsid w:val="00D8591E"/>
    <w:rsid w:val="00D975A0"/>
    <w:rsid w:val="00D97CEA"/>
    <w:rsid w:val="00DA0351"/>
    <w:rsid w:val="00DA2223"/>
    <w:rsid w:val="00DA552F"/>
    <w:rsid w:val="00DA6DB1"/>
    <w:rsid w:val="00DB227D"/>
    <w:rsid w:val="00DB3B3E"/>
    <w:rsid w:val="00DB53BE"/>
    <w:rsid w:val="00DC3D7C"/>
    <w:rsid w:val="00DC471E"/>
    <w:rsid w:val="00DC5F69"/>
    <w:rsid w:val="00DD0614"/>
    <w:rsid w:val="00DD091A"/>
    <w:rsid w:val="00DD4AF5"/>
    <w:rsid w:val="00DE2A9C"/>
    <w:rsid w:val="00DE4EF4"/>
    <w:rsid w:val="00DF1EC4"/>
    <w:rsid w:val="00DF2027"/>
    <w:rsid w:val="00DF30E6"/>
    <w:rsid w:val="00DF3313"/>
    <w:rsid w:val="00DF3C5E"/>
    <w:rsid w:val="00DF3ED0"/>
    <w:rsid w:val="00DF5C94"/>
    <w:rsid w:val="00DF6BA6"/>
    <w:rsid w:val="00DF6EFF"/>
    <w:rsid w:val="00DF79AB"/>
    <w:rsid w:val="00E03311"/>
    <w:rsid w:val="00E04E92"/>
    <w:rsid w:val="00E10DE8"/>
    <w:rsid w:val="00E11514"/>
    <w:rsid w:val="00E13536"/>
    <w:rsid w:val="00E15B63"/>
    <w:rsid w:val="00E16343"/>
    <w:rsid w:val="00E16E3E"/>
    <w:rsid w:val="00E21A90"/>
    <w:rsid w:val="00E25327"/>
    <w:rsid w:val="00E27F87"/>
    <w:rsid w:val="00E3029A"/>
    <w:rsid w:val="00E31081"/>
    <w:rsid w:val="00E349E3"/>
    <w:rsid w:val="00E37FA8"/>
    <w:rsid w:val="00E40EFE"/>
    <w:rsid w:val="00E42CBD"/>
    <w:rsid w:val="00E43FE8"/>
    <w:rsid w:val="00E44643"/>
    <w:rsid w:val="00E45F60"/>
    <w:rsid w:val="00E462B6"/>
    <w:rsid w:val="00E479B8"/>
    <w:rsid w:val="00E50E99"/>
    <w:rsid w:val="00E558A6"/>
    <w:rsid w:val="00E57E6D"/>
    <w:rsid w:val="00E64E97"/>
    <w:rsid w:val="00E65894"/>
    <w:rsid w:val="00E71CC6"/>
    <w:rsid w:val="00E7795A"/>
    <w:rsid w:val="00E82446"/>
    <w:rsid w:val="00E82689"/>
    <w:rsid w:val="00E82DA1"/>
    <w:rsid w:val="00E84A54"/>
    <w:rsid w:val="00E94B96"/>
    <w:rsid w:val="00EA21F1"/>
    <w:rsid w:val="00EA539A"/>
    <w:rsid w:val="00EA545F"/>
    <w:rsid w:val="00EA7A69"/>
    <w:rsid w:val="00EB1786"/>
    <w:rsid w:val="00EB5B41"/>
    <w:rsid w:val="00EB6805"/>
    <w:rsid w:val="00EB7920"/>
    <w:rsid w:val="00EC000A"/>
    <w:rsid w:val="00EC2932"/>
    <w:rsid w:val="00EC47CC"/>
    <w:rsid w:val="00EC49FA"/>
    <w:rsid w:val="00EC539A"/>
    <w:rsid w:val="00ED051D"/>
    <w:rsid w:val="00ED16D3"/>
    <w:rsid w:val="00ED2E0A"/>
    <w:rsid w:val="00ED6B04"/>
    <w:rsid w:val="00EE1AB5"/>
    <w:rsid w:val="00EE1EF7"/>
    <w:rsid w:val="00EE2EEB"/>
    <w:rsid w:val="00EE3BF7"/>
    <w:rsid w:val="00EE68AA"/>
    <w:rsid w:val="00EF4136"/>
    <w:rsid w:val="00EF537B"/>
    <w:rsid w:val="00EF5667"/>
    <w:rsid w:val="00EF59F0"/>
    <w:rsid w:val="00EF6527"/>
    <w:rsid w:val="00EF6F63"/>
    <w:rsid w:val="00F00115"/>
    <w:rsid w:val="00F001F7"/>
    <w:rsid w:val="00F0321D"/>
    <w:rsid w:val="00F06BC9"/>
    <w:rsid w:val="00F12DE6"/>
    <w:rsid w:val="00F13CCE"/>
    <w:rsid w:val="00F14386"/>
    <w:rsid w:val="00F14D7D"/>
    <w:rsid w:val="00F3071A"/>
    <w:rsid w:val="00F3087E"/>
    <w:rsid w:val="00F30DA0"/>
    <w:rsid w:val="00F33D62"/>
    <w:rsid w:val="00F35211"/>
    <w:rsid w:val="00F35C3E"/>
    <w:rsid w:val="00F35E2F"/>
    <w:rsid w:val="00F407CD"/>
    <w:rsid w:val="00F42EB9"/>
    <w:rsid w:val="00F45F5D"/>
    <w:rsid w:val="00F46A05"/>
    <w:rsid w:val="00F5116A"/>
    <w:rsid w:val="00F54422"/>
    <w:rsid w:val="00F56EE6"/>
    <w:rsid w:val="00F67E82"/>
    <w:rsid w:val="00F7071F"/>
    <w:rsid w:val="00F7355C"/>
    <w:rsid w:val="00F73D9C"/>
    <w:rsid w:val="00F75DF8"/>
    <w:rsid w:val="00F767DF"/>
    <w:rsid w:val="00F77F0D"/>
    <w:rsid w:val="00F80B3E"/>
    <w:rsid w:val="00F822E4"/>
    <w:rsid w:val="00F8319E"/>
    <w:rsid w:val="00F9101E"/>
    <w:rsid w:val="00F944F5"/>
    <w:rsid w:val="00FA2CCC"/>
    <w:rsid w:val="00FA5AA4"/>
    <w:rsid w:val="00FA5BD3"/>
    <w:rsid w:val="00FC046C"/>
    <w:rsid w:val="00FC487B"/>
    <w:rsid w:val="00FC4CE3"/>
    <w:rsid w:val="00FC4FA9"/>
    <w:rsid w:val="00FD773A"/>
    <w:rsid w:val="00FE037F"/>
    <w:rsid w:val="00FE2862"/>
    <w:rsid w:val="00FE423B"/>
    <w:rsid w:val="00FE4ADD"/>
    <w:rsid w:val="00FE6246"/>
    <w:rsid w:val="00FF25A2"/>
    <w:rsid w:val="00FF25A9"/>
    <w:rsid w:val="00FF32B5"/>
    <w:rsid w:val="00FF33BA"/>
    <w:rsid w:val="00FF444A"/>
    <w:rsid w:val="00FF56C3"/>
    <w:rsid w:val="00FF59B0"/>
    <w:rsid w:val="00FF6648"/>
    <w:rsid w:val="00FF7F43"/>
    <w:rsid w:val="00FF7F9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F7BF88E-D041-46F3-8414-E1C9A2951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1891"/>
    <w:pPr>
      <w:spacing w:after="120" w:line="360" w:lineRule="auto"/>
      <w:contextualSpacing/>
      <w:jc w:val="both"/>
    </w:pPr>
    <w:rPr>
      <w:rFonts w:ascii="Arial" w:hAnsi="Arial"/>
      <w:sz w:val="24"/>
    </w:rPr>
  </w:style>
  <w:style w:type="paragraph" w:styleId="Ttulo1">
    <w:name w:val="heading 1"/>
    <w:basedOn w:val="Normal"/>
    <w:next w:val="Normal"/>
    <w:link w:val="Ttulo1Char"/>
    <w:uiPriority w:val="9"/>
    <w:qFormat/>
    <w:rsid w:val="00C75E3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semiHidden/>
    <w:unhideWhenUsed/>
    <w:qFormat/>
    <w:rsid w:val="00C75E3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semiHidden/>
    <w:unhideWhenUsed/>
    <w:qFormat/>
    <w:rsid w:val="00C75E31"/>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7902F3"/>
    <w:pPr>
      <w:autoSpaceDE w:val="0"/>
      <w:autoSpaceDN w:val="0"/>
      <w:adjustRightInd w:val="0"/>
      <w:spacing w:after="0" w:line="240" w:lineRule="auto"/>
    </w:pPr>
    <w:rPr>
      <w:rFonts w:ascii="Arial" w:hAnsi="Arial" w:cs="Arial"/>
      <w:color w:val="000000"/>
      <w:sz w:val="24"/>
      <w:szCs w:val="24"/>
    </w:rPr>
  </w:style>
  <w:style w:type="paragraph" w:styleId="PargrafodaLista">
    <w:name w:val="List Paragraph"/>
    <w:basedOn w:val="Normal"/>
    <w:uiPriority w:val="34"/>
    <w:qFormat/>
    <w:rsid w:val="00093035"/>
    <w:pPr>
      <w:ind w:left="720"/>
    </w:pPr>
  </w:style>
  <w:style w:type="character" w:styleId="TextodoEspaoReservado">
    <w:name w:val="Placeholder Text"/>
    <w:basedOn w:val="Fontepargpadro"/>
    <w:uiPriority w:val="99"/>
    <w:semiHidden/>
    <w:rsid w:val="004A1326"/>
    <w:rPr>
      <w:color w:val="808080"/>
    </w:rPr>
  </w:style>
  <w:style w:type="paragraph" w:styleId="Cabealho">
    <w:name w:val="header"/>
    <w:basedOn w:val="Normal"/>
    <w:link w:val="CabealhoChar"/>
    <w:uiPriority w:val="99"/>
    <w:unhideWhenUsed/>
    <w:rsid w:val="0086797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67976"/>
    <w:rPr>
      <w:rFonts w:ascii="Arial" w:hAnsi="Arial"/>
      <w:sz w:val="24"/>
    </w:rPr>
  </w:style>
  <w:style w:type="paragraph" w:styleId="Rodap">
    <w:name w:val="footer"/>
    <w:basedOn w:val="Normal"/>
    <w:link w:val="RodapChar"/>
    <w:uiPriority w:val="99"/>
    <w:unhideWhenUsed/>
    <w:rsid w:val="00867976"/>
    <w:pPr>
      <w:tabs>
        <w:tab w:val="center" w:pos="4252"/>
        <w:tab w:val="right" w:pos="8504"/>
      </w:tabs>
      <w:spacing w:after="0" w:line="240" w:lineRule="auto"/>
    </w:pPr>
  </w:style>
  <w:style w:type="character" w:customStyle="1" w:styleId="RodapChar">
    <w:name w:val="Rodapé Char"/>
    <w:basedOn w:val="Fontepargpadro"/>
    <w:link w:val="Rodap"/>
    <w:uiPriority w:val="99"/>
    <w:rsid w:val="00867976"/>
    <w:rPr>
      <w:rFonts w:ascii="Arial" w:hAnsi="Arial"/>
      <w:sz w:val="24"/>
    </w:rPr>
  </w:style>
  <w:style w:type="paragraph" w:customStyle="1" w:styleId="Nvel2-PG">
    <w:name w:val="Nível 2 - PG"/>
    <w:basedOn w:val="Normal"/>
    <w:link w:val="Nvel2-PGChar"/>
    <w:qFormat/>
    <w:rsid w:val="007200F4"/>
    <w:pPr>
      <w:autoSpaceDE w:val="0"/>
      <w:autoSpaceDN w:val="0"/>
      <w:adjustRightInd w:val="0"/>
      <w:contextualSpacing w:val="0"/>
      <w:jc w:val="left"/>
    </w:pPr>
    <w:rPr>
      <w:rFonts w:cs="Arial"/>
      <w:b/>
      <w:szCs w:val="24"/>
    </w:rPr>
  </w:style>
  <w:style w:type="paragraph" w:customStyle="1" w:styleId="Nvel1-PG">
    <w:name w:val="Nível 1 - PG"/>
    <w:basedOn w:val="Normal"/>
    <w:link w:val="Nvel1-PGChar"/>
    <w:qFormat/>
    <w:rsid w:val="007200F4"/>
    <w:pPr>
      <w:autoSpaceDE w:val="0"/>
      <w:autoSpaceDN w:val="0"/>
      <w:adjustRightInd w:val="0"/>
      <w:contextualSpacing w:val="0"/>
      <w:jc w:val="left"/>
    </w:pPr>
    <w:rPr>
      <w:rFonts w:cs="Arial"/>
      <w:b/>
      <w:szCs w:val="24"/>
    </w:rPr>
  </w:style>
  <w:style w:type="character" w:customStyle="1" w:styleId="Nvel2-PGChar">
    <w:name w:val="Nível 2 - PG Char"/>
    <w:basedOn w:val="Fontepargpadro"/>
    <w:link w:val="Nvel2-PG"/>
    <w:rsid w:val="007200F4"/>
    <w:rPr>
      <w:rFonts w:ascii="Arial" w:hAnsi="Arial" w:cs="Arial"/>
      <w:b/>
      <w:sz w:val="24"/>
      <w:szCs w:val="24"/>
    </w:rPr>
  </w:style>
  <w:style w:type="paragraph" w:customStyle="1" w:styleId="Nvel3-PG">
    <w:name w:val="Nível 3 - PG"/>
    <w:basedOn w:val="Normal"/>
    <w:link w:val="Nvel3-PGChar"/>
    <w:qFormat/>
    <w:rsid w:val="007200F4"/>
    <w:pPr>
      <w:autoSpaceDE w:val="0"/>
      <w:autoSpaceDN w:val="0"/>
      <w:adjustRightInd w:val="0"/>
      <w:contextualSpacing w:val="0"/>
      <w:jc w:val="left"/>
    </w:pPr>
    <w:rPr>
      <w:rFonts w:cs="Arial"/>
      <w:szCs w:val="24"/>
    </w:rPr>
  </w:style>
  <w:style w:type="character" w:customStyle="1" w:styleId="Nvel1-PGChar">
    <w:name w:val="Nível 1 - PG Char"/>
    <w:basedOn w:val="Fontepargpadro"/>
    <w:link w:val="Nvel1-PG"/>
    <w:rsid w:val="007200F4"/>
    <w:rPr>
      <w:rFonts w:ascii="Arial" w:hAnsi="Arial" w:cs="Arial"/>
      <w:b/>
      <w:sz w:val="24"/>
      <w:szCs w:val="24"/>
    </w:rPr>
  </w:style>
  <w:style w:type="character" w:customStyle="1" w:styleId="Nvel3-PGChar">
    <w:name w:val="Nível 3 - PG Char"/>
    <w:basedOn w:val="Fontepargpadro"/>
    <w:link w:val="Nvel3-PG"/>
    <w:rsid w:val="007200F4"/>
    <w:rPr>
      <w:rFonts w:ascii="Arial" w:hAnsi="Arial" w:cs="Arial"/>
      <w:sz w:val="24"/>
      <w:szCs w:val="24"/>
    </w:rPr>
  </w:style>
  <w:style w:type="paragraph" w:styleId="Textodebalo">
    <w:name w:val="Balloon Text"/>
    <w:basedOn w:val="Normal"/>
    <w:link w:val="TextodebaloChar"/>
    <w:uiPriority w:val="99"/>
    <w:semiHidden/>
    <w:unhideWhenUsed/>
    <w:rsid w:val="006E4BD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E4BDA"/>
    <w:rPr>
      <w:rFonts w:ascii="Tahoma" w:hAnsi="Tahoma" w:cs="Tahoma"/>
      <w:sz w:val="16"/>
      <w:szCs w:val="16"/>
    </w:rPr>
  </w:style>
  <w:style w:type="paragraph" w:styleId="Legenda">
    <w:name w:val="caption"/>
    <w:basedOn w:val="Normal"/>
    <w:next w:val="Normal"/>
    <w:uiPriority w:val="35"/>
    <w:unhideWhenUsed/>
    <w:qFormat/>
    <w:rsid w:val="008E2AA9"/>
    <w:pPr>
      <w:spacing w:after="200" w:line="240" w:lineRule="auto"/>
    </w:pPr>
    <w:rPr>
      <w:i/>
      <w:iCs/>
      <w:color w:val="44546A" w:themeColor="text2"/>
      <w:sz w:val="18"/>
      <w:szCs w:val="18"/>
    </w:rPr>
  </w:style>
  <w:style w:type="character" w:styleId="Hyperlink">
    <w:name w:val="Hyperlink"/>
    <w:basedOn w:val="Fontepargpadro"/>
    <w:uiPriority w:val="99"/>
    <w:unhideWhenUsed/>
    <w:rsid w:val="00EB5B41"/>
    <w:rPr>
      <w:color w:val="0563C1" w:themeColor="hyperlink"/>
      <w:u w:val="single"/>
    </w:rPr>
  </w:style>
  <w:style w:type="table" w:styleId="Tabelacomgrade">
    <w:name w:val="Table Grid"/>
    <w:basedOn w:val="Tabelanormal"/>
    <w:uiPriority w:val="39"/>
    <w:rsid w:val="00F33D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vel4-PG">
    <w:name w:val="Nível 4 - PG"/>
    <w:basedOn w:val="Nvel3-PG"/>
    <w:link w:val="Nvel4-PGChar"/>
    <w:qFormat/>
    <w:rsid w:val="00276B98"/>
    <w:pPr>
      <w:jc w:val="both"/>
    </w:pPr>
    <w:rPr>
      <w:i/>
    </w:rPr>
  </w:style>
  <w:style w:type="character" w:customStyle="1" w:styleId="Nvel4-PGChar">
    <w:name w:val="Nível 4 - PG Char"/>
    <w:basedOn w:val="Nvel3-PGChar"/>
    <w:link w:val="Nvel4-PG"/>
    <w:rsid w:val="00276B98"/>
    <w:rPr>
      <w:rFonts w:ascii="Arial" w:hAnsi="Arial" w:cs="Arial"/>
      <w:i/>
      <w:sz w:val="24"/>
      <w:szCs w:val="24"/>
    </w:rPr>
  </w:style>
  <w:style w:type="character" w:customStyle="1" w:styleId="Ttulo1Char">
    <w:name w:val="Título 1 Char"/>
    <w:basedOn w:val="Fontepargpadro"/>
    <w:link w:val="Ttulo1"/>
    <w:uiPriority w:val="9"/>
    <w:rsid w:val="00C75E31"/>
    <w:rPr>
      <w:rFonts w:asciiTheme="majorHAnsi" w:eastAsiaTheme="majorEastAsia" w:hAnsiTheme="majorHAnsi" w:cstheme="majorBidi"/>
      <w:color w:val="2E74B5" w:themeColor="accent1" w:themeShade="BF"/>
      <w:sz w:val="32"/>
      <w:szCs w:val="32"/>
    </w:rPr>
  </w:style>
  <w:style w:type="paragraph" w:styleId="Sumrio1">
    <w:name w:val="toc 1"/>
    <w:basedOn w:val="Normal"/>
    <w:next w:val="Normal"/>
    <w:autoRedefine/>
    <w:uiPriority w:val="39"/>
    <w:unhideWhenUsed/>
    <w:rsid w:val="000B661A"/>
    <w:pPr>
      <w:tabs>
        <w:tab w:val="right" w:leader="dot" w:pos="9061"/>
      </w:tabs>
      <w:spacing w:after="100"/>
    </w:pPr>
    <w:rPr>
      <w:b/>
      <w:noProof/>
    </w:rPr>
  </w:style>
  <w:style w:type="character" w:customStyle="1" w:styleId="Ttulo2Char">
    <w:name w:val="Título 2 Char"/>
    <w:basedOn w:val="Fontepargpadro"/>
    <w:link w:val="Ttulo2"/>
    <w:uiPriority w:val="9"/>
    <w:semiHidden/>
    <w:rsid w:val="00C75E31"/>
    <w:rPr>
      <w:rFonts w:asciiTheme="majorHAnsi" w:eastAsiaTheme="majorEastAsia" w:hAnsiTheme="majorHAnsi" w:cstheme="majorBidi"/>
      <w:color w:val="2E74B5" w:themeColor="accent1" w:themeShade="BF"/>
      <w:sz w:val="26"/>
      <w:szCs w:val="26"/>
    </w:rPr>
  </w:style>
  <w:style w:type="character" w:customStyle="1" w:styleId="Ttulo3Char">
    <w:name w:val="Título 3 Char"/>
    <w:basedOn w:val="Fontepargpadro"/>
    <w:link w:val="Ttulo3"/>
    <w:uiPriority w:val="9"/>
    <w:semiHidden/>
    <w:rsid w:val="00C75E31"/>
    <w:rPr>
      <w:rFonts w:asciiTheme="majorHAnsi" w:eastAsiaTheme="majorEastAsia" w:hAnsiTheme="majorHAnsi" w:cstheme="majorBidi"/>
      <w:color w:val="1F4D78" w:themeColor="accent1" w:themeShade="7F"/>
      <w:sz w:val="24"/>
      <w:szCs w:val="24"/>
    </w:rPr>
  </w:style>
  <w:style w:type="paragraph" w:styleId="Sumrio2">
    <w:name w:val="toc 2"/>
    <w:basedOn w:val="Normal"/>
    <w:next w:val="Normal"/>
    <w:autoRedefine/>
    <w:uiPriority w:val="39"/>
    <w:unhideWhenUsed/>
    <w:rsid w:val="000B661A"/>
    <w:pPr>
      <w:tabs>
        <w:tab w:val="right" w:leader="dot" w:pos="9061"/>
      </w:tabs>
      <w:spacing w:after="100"/>
      <w:ind w:left="240"/>
    </w:pPr>
    <w:rPr>
      <w:b/>
      <w:noProof/>
    </w:rPr>
  </w:style>
  <w:style w:type="paragraph" w:styleId="Sumrio3">
    <w:name w:val="toc 3"/>
    <w:basedOn w:val="Normal"/>
    <w:next w:val="Normal"/>
    <w:autoRedefine/>
    <w:uiPriority w:val="39"/>
    <w:unhideWhenUsed/>
    <w:rsid w:val="00C75E31"/>
    <w:pPr>
      <w:spacing w:after="100"/>
      <w:ind w:left="480"/>
    </w:pPr>
  </w:style>
  <w:style w:type="paragraph" w:styleId="Sumrio4">
    <w:name w:val="toc 4"/>
    <w:basedOn w:val="Normal"/>
    <w:next w:val="Normal"/>
    <w:autoRedefine/>
    <w:uiPriority w:val="39"/>
    <w:unhideWhenUsed/>
    <w:rsid w:val="000B661A"/>
    <w:pPr>
      <w:tabs>
        <w:tab w:val="right" w:leader="dot" w:pos="9061"/>
      </w:tabs>
      <w:spacing w:after="100"/>
      <w:ind w:left="720"/>
    </w:pPr>
    <w:rPr>
      <w:i/>
      <w:noProof/>
    </w:rPr>
  </w:style>
  <w:style w:type="paragraph" w:styleId="NormalWeb">
    <w:name w:val="Normal (Web)"/>
    <w:basedOn w:val="Normal"/>
    <w:uiPriority w:val="99"/>
    <w:unhideWhenUsed/>
    <w:rsid w:val="00A42C4C"/>
    <w:pPr>
      <w:spacing w:before="100" w:beforeAutospacing="1" w:after="100" w:afterAutospacing="1" w:line="240" w:lineRule="auto"/>
      <w:contextualSpacing w:val="0"/>
      <w:jc w:val="left"/>
    </w:pPr>
    <w:rPr>
      <w:rFonts w:ascii="Times New Roman" w:eastAsia="Times New Roman" w:hAnsi="Times New Roman" w:cs="Times New Roman"/>
      <w:szCs w:val="24"/>
      <w:lang w:eastAsia="pt-BR"/>
    </w:rPr>
  </w:style>
  <w:style w:type="character" w:styleId="nfase">
    <w:name w:val="Emphasis"/>
    <w:basedOn w:val="Fontepargpadro"/>
    <w:uiPriority w:val="20"/>
    <w:qFormat/>
    <w:rsid w:val="00A42C4C"/>
    <w:rPr>
      <w:i/>
      <w:iCs/>
    </w:rPr>
  </w:style>
  <w:style w:type="character" w:styleId="Refdecomentrio">
    <w:name w:val="annotation reference"/>
    <w:basedOn w:val="Fontepargpadro"/>
    <w:uiPriority w:val="99"/>
    <w:semiHidden/>
    <w:unhideWhenUsed/>
    <w:rsid w:val="00CD4FE8"/>
    <w:rPr>
      <w:sz w:val="16"/>
      <w:szCs w:val="16"/>
    </w:rPr>
  </w:style>
  <w:style w:type="paragraph" w:styleId="Textodecomentrio">
    <w:name w:val="annotation text"/>
    <w:basedOn w:val="Normal"/>
    <w:link w:val="TextodecomentrioChar"/>
    <w:uiPriority w:val="99"/>
    <w:semiHidden/>
    <w:unhideWhenUsed/>
    <w:rsid w:val="00CD4FE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CD4FE8"/>
    <w:rPr>
      <w:rFonts w:ascii="Arial" w:hAnsi="Arial"/>
      <w:sz w:val="20"/>
      <w:szCs w:val="20"/>
    </w:rPr>
  </w:style>
  <w:style w:type="paragraph" w:styleId="Assuntodocomentrio">
    <w:name w:val="annotation subject"/>
    <w:basedOn w:val="Textodecomentrio"/>
    <w:next w:val="Textodecomentrio"/>
    <w:link w:val="AssuntodocomentrioChar"/>
    <w:uiPriority w:val="99"/>
    <w:semiHidden/>
    <w:unhideWhenUsed/>
    <w:rsid w:val="00CD4FE8"/>
    <w:rPr>
      <w:b/>
      <w:bCs/>
    </w:rPr>
  </w:style>
  <w:style w:type="character" w:customStyle="1" w:styleId="AssuntodocomentrioChar">
    <w:name w:val="Assunto do comentário Char"/>
    <w:basedOn w:val="TextodecomentrioChar"/>
    <w:link w:val="Assuntodocomentrio"/>
    <w:uiPriority w:val="99"/>
    <w:semiHidden/>
    <w:rsid w:val="00CD4FE8"/>
    <w:rPr>
      <w:rFonts w:ascii="Arial" w:hAnsi="Arial"/>
      <w:b/>
      <w:bCs/>
      <w:sz w:val="20"/>
      <w:szCs w:val="20"/>
    </w:rPr>
  </w:style>
  <w:style w:type="paragraph" w:styleId="Sumrio5">
    <w:name w:val="toc 5"/>
    <w:basedOn w:val="Normal"/>
    <w:next w:val="Normal"/>
    <w:autoRedefine/>
    <w:uiPriority w:val="39"/>
    <w:unhideWhenUsed/>
    <w:rsid w:val="00A16BA1"/>
    <w:pPr>
      <w:spacing w:after="100" w:line="259" w:lineRule="auto"/>
      <w:ind w:left="880"/>
      <w:contextualSpacing w:val="0"/>
      <w:jc w:val="left"/>
    </w:pPr>
    <w:rPr>
      <w:rFonts w:asciiTheme="minorHAnsi" w:eastAsiaTheme="minorEastAsia" w:hAnsiTheme="minorHAnsi"/>
      <w:sz w:val="22"/>
      <w:lang w:eastAsia="pt-BR"/>
    </w:rPr>
  </w:style>
  <w:style w:type="paragraph" w:styleId="Sumrio6">
    <w:name w:val="toc 6"/>
    <w:basedOn w:val="Normal"/>
    <w:next w:val="Normal"/>
    <w:autoRedefine/>
    <w:uiPriority w:val="39"/>
    <w:unhideWhenUsed/>
    <w:rsid w:val="00A16BA1"/>
    <w:pPr>
      <w:spacing w:after="100" w:line="259" w:lineRule="auto"/>
      <w:ind w:left="1100"/>
      <w:contextualSpacing w:val="0"/>
      <w:jc w:val="left"/>
    </w:pPr>
    <w:rPr>
      <w:rFonts w:asciiTheme="minorHAnsi" w:eastAsiaTheme="minorEastAsia" w:hAnsiTheme="minorHAnsi"/>
      <w:sz w:val="22"/>
      <w:lang w:eastAsia="pt-BR"/>
    </w:rPr>
  </w:style>
  <w:style w:type="paragraph" w:styleId="Sumrio7">
    <w:name w:val="toc 7"/>
    <w:basedOn w:val="Normal"/>
    <w:next w:val="Normal"/>
    <w:autoRedefine/>
    <w:uiPriority w:val="39"/>
    <w:unhideWhenUsed/>
    <w:rsid w:val="00A16BA1"/>
    <w:pPr>
      <w:spacing w:after="100" w:line="259" w:lineRule="auto"/>
      <w:ind w:left="1320"/>
      <w:contextualSpacing w:val="0"/>
      <w:jc w:val="left"/>
    </w:pPr>
    <w:rPr>
      <w:rFonts w:asciiTheme="minorHAnsi" w:eastAsiaTheme="minorEastAsia" w:hAnsiTheme="minorHAnsi"/>
      <w:sz w:val="22"/>
      <w:lang w:eastAsia="pt-BR"/>
    </w:rPr>
  </w:style>
  <w:style w:type="paragraph" w:styleId="Sumrio8">
    <w:name w:val="toc 8"/>
    <w:basedOn w:val="Normal"/>
    <w:next w:val="Normal"/>
    <w:autoRedefine/>
    <w:uiPriority w:val="39"/>
    <w:unhideWhenUsed/>
    <w:rsid w:val="00A16BA1"/>
    <w:pPr>
      <w:spacing w:after="100" w:line="259" w:lineRule="auto"/>
      <w:ind w:left="1540"/>
      <w:contextualSpacing w:val="0"/>
      <w:jc w:val="left"/>
    </w:pPr>
    <w:rPr>
      <w:rFonts w:asciiTheme="minorHAnsi" w:eastAsiaTheme="minorEastAsia" w:hAnsiTheme="minorHAnsi"/>
      <w:sz w:val="22"/>
      <w:lang w:eastAsia="pt-BR"/>
    </w:rPr>
  </w:style>
  <w:style w:type="paragraph" w:styleId="Sumrio9">
    <w:name w:val="toc 9"/>
    <w:basedOn w:val="Normal"/>
    <w:next w:val="Normal"/>
    <w:autoRedefine/>
    <w:uiPriority w:val="39"/>
    <w:unhideWhenUsed/>
    <w:rsid w:val="00A16BA1"/>
    <w:pPr>
      <w:spacing w:after="100" w:line="259" w:lineRule="auto"/>
      <w:ind w:left="1760"/>
      <w:contextualSpacing w:val="0"/>
      <w:jc w:val="left"/>
    </w:pPr>
    <w:rPr>
      <w:rFonts w:asciiTheme="minorHAnsi" w:eastAsiaTheme="minorEastAsia" w:hAnsiTheme="minorHAnsi"/>
      <w:sz w:val="22"/>
      <w:lang w:eastAsia="pt-BR"/>
    </w:rPr>
  </w:style>
  <w:style w:type="paragraph" w:customStyle="1" w:styleId="Figura-PG">
    <w:name w:val="Figura -PG"/>
    <w:basedOn w:val="Normal"/>
    <w:link w:val="Figura-PGChar"/>
    <w:qFormat/>
    <w:rsid w:val="00771C7D"/>
    <w:pPr>
      <w:spacing w:after="0"/>
    </w:pPr>
    <w:rPr>
      <w:color w:val="000000" w:themeColor="text1"/>
      <w:sz w:val="20"/>
    </w:rPr>
  </w:style>
  <w:style w:type="paragraph" w:customStyle="1" w:styleId="Tabela-PG">
    <w:name w:val="Tabela - PG"/>
    <w:basedOn w:val="Figura-PG"/>
    <w:link w:val="Tabela-PGChar"/>
    <w:qFormat/>
    <w:rsid w:val="001F5D5E"/>
  </w:style>
  <w:style w:type="character" w:customStyle="1" w:styleId="Figura-PGChar">
    <w:name w:val="Figura -PG Char"/>
    <w:basedOn w:val="Fontepargpadro"/>
    <w:link w:val="Figura-PG"/>
    <w:rsid w:val="00771C7D"/>
    <w:rPr>
      <w:rFonts w:ascii="Arial" w:hAnsi="Arial"/>
      <w:color w:val="000000" w:themeColor="text1"/>
      <w:sz w:val="20"/>
    </w:rPr>
  </w:style>
  <w:style w:type="character" w:customStyle="1" w:styleId="Tabela-PGChar">
    <w:name w:val="Tabela - PG Char"/>
    <w:basedOn w:val="Figura-PGChar"/>
    <w:link w:val="Tabela-PG"/>
    <w:rsid w:val="001F5D5E"/>
    <w:rPr>
      <w:rFonts w:ascii="Arial" w:hAnsi="Arial"/>
      <w:color w:val="000000" w:themeColor="text1"/>
      <w:sz w:val="20"/>
    </w:rPr>
  </w:style>
  <w:style w:type="paragraph" w:styleId="ndicedeilustraes">
    <w:name w:val="table of figures"/>
    <w:basedOn w:val="Normal"/>
    <w:next w:val="Normal"/>
    <w:uiPriority w:val="99"/>
    <w:unhideWhenUsed/>
    <w:rsid w:val="00C66C17"/>
    <w:pPr>
      <w:spacing w:after="0"/>
    </w:pPr>
  </w:style>
  <w:style w:type="paragraph" w:customStyle="1" w:styleId="Estilo1">
    <w:name w:val="Estilo1"/>
    <w:basedOn w:val="Normal"/>
    <w:link w:val="Estilo1Char"/>
    <w:qFormat/>
    <w:rsid w:val="007768F0"/>
    <w:pPr>
      <w:contextualSpacing w:val="0"/>
    </w:pPr>
    <w:rPr>
      <w:rFonts w:cs="Arial"/>
      <w:b/>
      <w:szCs w:val="24"/>
    </w:rPr>
  </w:style>
  <w:style w:type="character" w:customStyle="1" w:styleId="Estilo1Char">
    <w:name w:val="Estilo1 Char"/>
    <w:basedOn w:val="Fontepargpadro"/>
    <w:link w:val="Estilo1"/>
    <w:rsid w:val="007768F0"/>
    <w:rPr>
      <w:rFonts w:ascii="Arial" w:hAnsi="Arial" w:cs="Arial"/>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32383">
      <w:bodyDiv w:val="1"/>
      <w:marLeft w:val="0"/>
      <w:marRight w:val="0"/>
      <w:marTop w:val="0"/>
      <w:marBottom w:val="0"/>
      <w:divBdr>
        <w:top w:val="none" w:sz="0" w:space="0" w:color="auto"/>
        <w:left w:val="none" w:sz="0" w:space="0" w:color="auto"/>
        <w:bottom w:val="none" w:sz="0" w:space="0" w:color="auto"/>
        <w:right w:val="none" w:sz="0" w:space="0" w:color="auto"/>
      </w:divBdr>
    </w:div>
    <w:div w:id="70153787">
      <w:bodyDiv w:val="1"/>
      <w:marLeft w:val="0"/>
      <w:marRight w:val="0"/>
      <w:marTop w:val="0"/>
      <w:marBottom w:val="0"/>
      <w:divBdr>
        <w:top w:val="none" w:sz="0" w:space="0" w:color="auto"/>
        <w:left w:val="none" w:sz="0" w:space="0" w:color="auto"/>
        <w:bottom w:val="none" w:sz="0" w:space="0" w:color="auto"/>
        <w:right w:val="none" w:sz="0" w:space="0" w:color="auto"/>
      </w:divBdr>
    </w:div>
    <w:div w:id="107312413">
      <w:bodyDiv w:val="1"/>
      <w:marLeft w:val="0"/>
      <w:marRight w:val="0"/>
      <w:marTop w:val="0"/>
      <w:marBottom w:val="0"/>
      <w:divBdr>
        <w:top w:val="none" w:sz="0" w:space="0" w:color="auto"/>
        <w:left w:val="none" w:sz="0" w:space="0" w:color="auto"/>
        <w:bottom w:val="none" w:sz="0" w:space="0" w:color="auto"/>
        <w:right w:val="none" w:sz="0" w:space="0" w:color="auto"/>
      </w:divBdr>
    </w:div>
    <w:div w:id="129713062">
      <w:bodyDiv w:val="1"/>
      <w:marLeft w:val="0"/>
      <w:marRight w:val="0"/>
      <w:marTop w:val="0"/>
      <w:marBottom w:val="0"/>
      <w:divBdr>
        <w:top w:val="none" w:sz="0" w:space="0" w:color="auto"/>
        <w:left w:val="none" w:sz="0" w:space="0" w:color="auto"/>
        <w:bottom w:val="none" w:sz="0" w:space="0" w:color="auto"/>
        <w:right w:val="none" w:sz="0" w:space="0" w:color="auto"/>
      </w:divBdr>
    </w:div>
    <w:div w:id="176358972">
      <w:bodyDiv w:val="1"/>
      <w:marLeft w:val="0"/>
      <w:marRight w:val="0"/>
      <w:marTop w:val="0"/>
      <w:marBottom w:val="0"/>
      <w:divBdr>
        <w:top w:val="none" w:sz="0" w:space="0" w:color="auto"/>
        <w:left w:val="none" w:sz="0" w:space="0" w:color="auto"/>
        <w:bottom w:val="none" w:sz="0" w:space="0" w:color="auto"/>
        <w:right w:val="none" w:sz="0" w:space="0" w:color="auto"/>
      </w:divBdr>
    </w:div>
    <w:div w:id="181748650">
      <w:bodyDiv w:val="1"/>
      <w:marLeft w:val="0"/>
      <w:marRight w:val="0"/>
      <w:marTop w:val="0"/>
      <w:marBottom w:val="0"/>
      <w:divBdr>
        <w:top w:val="none" w:sz="0" w:space="0" w:color="auto"/>
        <w:left w:val="none" w:sz="0" w:space="0" w:color="auto"/>
        <w:bottom w:val="none" w:sz="0" w:space="0" w:color="auto"/>
        <w:right w:val="none" w:sz="0" w:space="0" w:color="auto"/>
      </w:divBdr>
    </w:div>
    <w:div w:id="182715997">
      <w:bodyDiv w:val="1"/>
      <w:marLeft w:val="0"/>
      <w:marRight w:val="0"/>
      <w:marTop w:val="0"/>
      <w:marBottom w:val="0"/>
      <w:divBdr>
        <w:top w:val="none" w:sz="0" w:space="0" w:color="auto"/>
        <w:left w:val="none" w:sz="0" w:space="0" w:color="auto"/>
        <w:bottom w:val="none" w:sz="0" w:space="0" w:color="auto"/>
        <w:right w:val="none" w:sz="0" w:space="0" w:color="auto"/>
      </w:divBdr>
    </w:div>
    <w:div w:id="220404025">
      <w:bodyDiv w:val="1"/>
      <w:marLeft w:val="0"/>
      <w:marRight w:val="0"/>
      <w:marTop w:val="0"/>
      <w:marBottom w:val="0"/>
      <w:divBdr>
        <w:top w:val="none" w:sz="0" w:space="0" w:color="auto"/>
        <w:left w:val="none" w:sz="0" w:space="0" w:color="auto"/>
        <w:bottom w:val="none" w:sz="0" w:space="0" w:color="auto"/>
        <w:right w:val="none" w:sz="0" w:space="0" w:color="auto"/>
      </w:divBdr>
    </w:div>
    <w:div w:id="244534015">
      <w:bodyDiv w:val="1"/>
      <w:marLeft w:val="0"/>
      <w:marRight w:val="0"/>
      <w:marTop w:val="0"/>
      <w:marBottom w:val="0"/>
      <w:divBdr>
        <w:top w:val="none" w:sz="0" w:space="0" w:color="auto"/>
        <w:left w:val="none" w:sz="0" w:space="0" w:color="auto"/>
        <w:bottom w:val="none" w:sz="0" w:space="0" w:color="auto"/>
        <w:right w:val="none" w:sz="0" w:space="0" w:color="auto"/>
      </w:divBdr>
    </w:div>
    <w:div w:id="359014346">
      <w:bodyDiv w:val="1"/>
      <w:marLeft w:val="0"/>
      <w:marRight w:val="0"/>
      <w:marTop w:val="0"/>
      <w:marBottom w:val="0"/>
      <w:divBdr>
        <w:top w:val="none" w:sz="0" w:space="0" w:color="auto"/>
        <w:left w:val="none" w:sz="0" w:space="0" w:color="auto"/>
        <w:bottom w:val="none" w:sz="0" w:space="0" w:color="auto"/>
        <w:right w:val="none" w:sz="0" w:space="0" w:color="auto"/>
      </w:divBdr>
    </w:div>
    <w:div w:id="447358917">
      <w:bodyDiv w:val="1"/>
      <w:marLeft w:val="0"/>
      <w:marRight w:val="0"/>
      <w:marTop w:val="0"/>
      <w:marBottom w:val="0"/>
      <w:divBdr>
        <w:top w:val="none" w:sz="0" w:space="0" w:color="auto"/>
        <w:left w:val="none" w:sz="0" w:space="0" w:color="auto"/>
        <w:bottom w:val="none" w:sz="0" w:space="0" w:color="auto"/>
        <w:right w:val="none" w:sz="0" w:space="0" w:color="auto"/>
      </w:divBdr>
    </w:div>
    <w:div w:id="449671305">
      <w:bodyDiv w:val="1"/>
      <w:marLeft w:val="0"/>
      <w:marRight w:val="0"/>
      <w:marTop w:val="0"/>
      <w:marBottom w:val="0"/>
      <w:divBdr>
        <w:top w:val="none" w:sz="0" w:space="0" w:color="auto"/>
        <w:left w:val="none" w:sz="0" w:space="0" w:color="auto"/>
        <w:bottom w:val="none" w:sz="0" w:space="0" w:color="auto"/>
        <w:right w:val="none" w:sz="0" w:space="0" w:color="auto"/>
      </w:divBdr>
    </w:div>
    <w:div w:id="658849592">
      <w:bodyDiv w:val="1"/>
      <w:marLeft w:val="0"/>
      <w:marRight w:val="0"/>
      <w:marTop w:val="0"/>
      <w:marBottom w:val="0"/>
      <w:divBdr>
        <w:top w:val="none" w:sz="0" w:space="0" w:color="auto"/>
        <w:left w:val="none" w:sz="0" w:space="0" w:color="auto"/>
        <w:bottom w:val="none" w:sz="0" w:space="0" w:color="auto"/>
        <w:right w:val="none" w:sz="0" w:space="0" w:color="auto"/>
      </w:divBdr>
    </w:div>
    <w:div w:id="669216085">
      <w:bodyDiv w:val="1"/>
      <w:marLeft w:val="0"/>
      <w:marRight w:val="0"/>
      <w:marTop w:val="0"/>
      <w:marBottom w:val="0"/>
      <w:divBdr>
        <w:top w:val="none" w:sz="0" w:space="0" w:color="auto"/>
        <w:left w:val="none" w:sz="0" w:space="0" w:color="auto"/>
        <w:bottom w:val="none" w:sz="0" w:space="0" w:color="auto"/>
        <w:right w:val="none" w:sz="0" w:space="0" w:color="auto"/>
      </w:divBdr>
    </w:div>
    <w:div w:id="694188838">
      <w:bodyDiv w:val="1"/>
      <w:marLeft w:val="0"/>
      <w:marRight w:val="0"/>
      <w:marTop w:val="0"/>
      <w:marBottom w:val="0"/>
      <w:divBdr>
        <w:top w:val="none" w:sz="0" w:space="0" w:color="auto"/>
        <w:left w:val="none" w:sz="0" w:space="0" w:color="auto"/>
        <w:bottom w:val="none" w:sz="0" w:space="0" w:color="auto"/>
        <w:right w:val="none" w:sz="0" w:space="0" w:color="auto"/>
      </w:divBdr>
    </w:div>
    <w:div w:id="822962641">
      <w:bodyDiv w:val="1"/>
      <w:marLeft w:val="0"/>
      <w:marRight w:val="0"/>
      <w:marTop w:val="0"/>
      <w:marBottom w:val="0"/>
      <w:divBdr>
        <w:top w:val="none" w:sz="0" w:space="0" w:color="auto"/>
        <w:left w:val="none" w:sz="0" w:space="0" w:color="auto"/>
        <w:bottom w:val="none" w:sz="0" w:space="0" w:color="auto"/>
        <w:right w:val="none" w:sz="0" w:space="0" w:color="auto"/>
      </w:divBdr>
    </w:div>
    <w:div w:id="921379003">
      <w:bodyDiv w:val="1"/>
      <w:marLeft w:val="0"/>
      <w:marRight w:val="0"/>
      <w:marTop w:val="0"/>
      <w:marBottom w:val="0"/>
      <w:divBdr>
        <w:top w:val="none" w:sz="0" w:space="0" w:color="auto"/>
        <w:left w:val="none" w:sz="0" w:space="0" w:color="auto"/>
        <w:bottom w:val="none" w:sz="0" w:space="0" w:color="auto"/>
        <w:right w:val="none" w:sz="0" w:space="0" w:color="auto"/>
      </w:divBdr>
    </w:div>
    <w:div w:id="996033955">
      <w:bodyDiv w:val="1"/>
      <w:marLeft w:val="0"/>
      <w:marRight w:val="0"/>
      <w:marTop w:val="0"/>
      <w:marBottom w:val="0"/>
      <w:divBdr>
        <w:top w:val="none" w:sz="0" w:space="0" w:color="auto"/>
        <w:left w:val="none" w:sz="0" w:space="0" w:color="auto"/>
        <w:bottom w:val="none" w:sz="0" w:space="0" w:color="auto"/>
        <w:right w:val="none" w:sz="0" w:space="0" w:color="auto"/>
      </w:divBdr>
    </w:div>
    <w:div w:id="1026637194">
      <w:bodyDiv w:val="1"/>
      <w:marLeft w:val="0"/>
      <w:marRight w:val="0"/>
      <w:marTop w:val="0"/>
      <w:marBottom w:val="0"/>
      <w:divBdr>
        <w:top w:val="none" w:sz="0" w:space="0" w:color="auto"/>
        <w:left w:val="none" w:sz="0" w:space="0" w:color="auto"/>
        <w:bottom w:val="none" w:sz="0" w:space="0" w:color="auto"/>
        <w:right w:val="none" w:sz="0" w:space="0" w:color="auto"/>
      </w:divBdr>
    </w:div>
    <w:div w:id="1135487811">
      <w:bodyDiv w:val="1"/>
      <w:marLeft w:val="0"/>
      <w:marRight w:val="0"/>
      <w:marTop w:val="0"/>
      <w:marBottom w:val="0"/>
      <w:divBdr>
        <w:top w:val="none" w:sz="0" w:space="0" w:color="auto"/>
        <w:left w:val="none" w:sz="0" w:space="0" w:color="auto"/>
        <w:bottom w:val="none" w:sz="0" w:space="0" w:color="auto"/>
        <w:right w:val="none" w:sz="0" w:space="0" w:color="auto"/>
      </w:divBdr>
    </w:div>
    <w:div w:id="1156146370">
      <w:bodyDiv w:val="1"/>
      <w:marLeft w:val="0"/>
      <w:marRight w:val="0"/>
      <w:marTop w:val="0"/>
      <w:marBottom w:val="0"/>
      <w:divBdr>
        <w:top w:val="none" w:sz="0" w:space="0" w:color="auto"/>
        <w:left w:val="none" w:sz="0" w:space="0" w:color="auto"/>
        <w:bottom w:val="none" w:sz="0" w:space="0" w:color="auto"/>
        <w:right w:val="none" w:sz="0" w:space="0" w:color="auto"/>
      </w:divBdr>
    </w:div>
    <w:div w:id="1249339767">
      <w:bodyDiv w:val="1"/>
      <w:marLeft w:val="0"/>
      <w:marRight w:val="0"/>
      <w:marTop w:val="0"/>
      <w:marBottom w:val="0"/>
      <w:divBdr>
        <w:top w:val="none" w:sz="0" w:space="0" w:color="auto"/>
        <w:left w:val="none" w:sz="0" w:space="0" w:color="auto"/>
        <w:bottom w:val="none" w:sz="0" w:space="0" w:color="auto"/>
        <w:right w:val="none" w:sz="0" w:space="0" w:color="auto"/>
      </w:divBdr>
    </w:div>
    <w:div w:id="1307125241">
      <w:bodyDiv w:val="1"/>
      <w:marLeft w:val="0"/>
      <w:marRight w:val="0"/>
      <w:marTop w:val="0"/>
      <w:marBottom w:val="0"/>
      <w:divBdr>
        <w:top w:val="none" w:sz="0" w:space="0" w:color="auto"/>
        <w:left w:val="none" w:sz="0" w:space="0" w:color="auto"/>
        <w:bottom w:val="none" w:sz="0" w:space="0" w:color="auto"/>
        <w:right w:val="none" w:sz="0" w:space="0" w:color="auto"/>
      </w:divBdr>
    </w:div>
    <w:div w:id="1320961760">
      <w:bodyDiv w:val="1"/>
      <w:marLeft w:val="0"/>
      <w:marRight w:val="0"/>
      <w:marTop w:val="0"/>
      <w:marBottom w:val="0"/>
      <w:divBdr>
        <w:top w:val="none" w:sz="0" w:space="0" w:color="auto"/>
        <w:left w:val="none" w:sz="0" w:space="0" w:color="auto"/>
        <w:bottom w:val="none" w:sz="0" w:space="0" w:color="auto"/>
        <w:right w:val="none" w:sz="0" w:space="0" w:color="auto"/>
      </w:divBdr>
    </w:div>
    <w:div w:id="1383167424">
      <w:bodyDiv w:val="1"/>
      <w:marLeft w:val="0"/>
      <w:marRight w:val="0"/>
      <w:marTop w:val="0"/>
      <w:marBottom w:val="0"/>
      <w:divBdr>
        <w:top w:val="none" w:sz="0" w:space="0" w:color="auto"/>
        <w:left w:val="none" w:sz="0" w:space="0" w:color="auto"/>
        <w:bottom w:val="none" w:sz="0" w:space="0" w:color="auto"/>
        <w:right w:val="none" w:sz="0" w:space="0" w:color="auto"/>
      </w:divBdr>
    </w:div>
    <w:div w:id="1418483873">
      <w:bodyDiv w:val="1"/>
      <w:marLeft w:val="0"/>
      <w:marRight w:val="0"/>
      <w:marTop w:val="0"/>
      <w:marBottom w:val="0"/>
      <w:divBdr>
        <w:top w:val="none" w:sz="0" w:space="0" w:color="auto"/>
        <w:left w:val="none" w:sz="0" w:space="0" w:color="auto"/>
        <w:bottom w:val="none" w:sz="0" w:space="0" w:color="auto"/>
        <w:right w:val="none" w:sz="0" w:space="0" w:color="auto"/>
      </w:divBdr>
    </w:div>
    <w:div w:id="1439790033">
      <w:bodyDiv w:val="1"/>
      <w:marLeft w:val="0"/>
      <w:marRight w:val="0"/>
      <w:marTop w:val="0"/>
      <w:marBottom w:val="0"/>
      <w:divBdr>
        <w:top w:val="none" w:sz="0" w:space="0" w:color="auto"/>
        <w:left w:val="none" w:sz="0" w:space="0" w:color="auto"/>
        <w:bottom w:val="none" w:sz="0" w:space="0" w:color="auto"/>
        <w:right w:val="none" w:sz="0" w:space="0" w:color="auto"/>
      </w:divBdr>
    </w:div>
    <w:div w:id="1480725353">
      <w:bodyDiv w:val="1"/>
      <w:marLeft w:val="0"/>
      <w:marRight w:val="0"/>
      <w:marTop w:val="0"/>
      <w:marBottom w:val="0"/>
      <w:divBdr>
        <w:top w:val="none" w:sz="0" w:space="0" w:color="auto"/>
        <w:left w:val="none" w:sz="0" w:space="0" w:color="auto"/>
        <w:bottom w:val="none" w:sz="0" w:space="0" w:color="auto"/>
        <w:right w:val="none" w:sz="0" w:space="0" w:color="auto"/>
      </w:divBdr>
    </w:div>
    <w:div w:id="1572620464">
      <w:bodyDiv w:val="1"/>
      <w:marLeft w:val="0"/>
      <w:marRight w:val="0"/>
      <w:marTop w:val="0"/>
      <w:marBottom w:val="0"/>
      <w:divBdr>
        <w:top w:val="none" w:sz="0" w:space="0" w:color="auto"/>
        <w:left w:val="none" w:sz="0" w:space="0" w:color="auto"/>
        <w:bottom w:val="none" w:sz="0" w:space="0" w:color="auto"/>
        <w:right w:val="none" w:sz="0" w:space="0" w:color="auto"/>
      </w:divBdr>
    </w:div>
    <w:div w:id="1590850940">
      <w:bodyDiv w:val="1"/>
      <w:marLeft w:val="0"/>
      <w:marRight w:val="0"/>
      <w:marTop w:val="0"/>
      <w:marBottom w:val="0"/>
      <w:divBdr>
        <w:top w:val="none" w:sz="0" w:space="0" w:color="auto"/>
        <w:left w:val="none" w:sz="0" w:space="0" w:color="auto"/>
        <w:bottom w:val="none" w:sz="0" w:space="0" w:color="auto"/>
        <w:right w:val="none" w:sz="0" w:space="0" w:color="auto"/>
      </w:divBdr>
    </w:div>
    <w:div w:id="1693189799">
      <w:bodyDiv w:val="1"/>
      <w:marLeft w:val="0"/>
      <w:marRight w:val="0"/>
      <w:marTop w:val="0"/>
      <w:marBottom w:val="0"/>
      <w:divBdr>
        <w:top w:val="none" w:sz="0" w:space="0" w:color="auto"/>
        <w:left w:val="none" w:sz="0" w:space="0" w:color="auto"/>
        <w:bottom w:val="none" w:sz="0" w:space="0" w:color="auto"/>
        <w:right w:val="none" w:sz="0" w:space="0" w:color="auto"/>
      </w:divBdr>
    </w:div>
    <w:div w:id="1694379495">
      <w:bodyDiv w:val="1"/>
      <w:marLeft w:val="0"/>
      <w:marRight w:val="0"/>
      <w:marTop w:val="0"/>
      <w:marBottom w:val="0"/>
      <w:divBdr>
        <w:top w:val="none" w:sz="0" w:space="0" w:color="auto"/>
        <w:left w:val="none" w:sz="0" w:space="0" w:color="auto"/>
        <w:bottom w:val="none" w:sz="0" w:space="0" w:color="auto"/>
        <w:right w:val="none" w:sz="0" w:space="0" w:color="auto"/>
      </w:divBdr>
    </w:div>
    <w:div w:id="1719818787">
      <w:bodyDiv w:val="1"/>
      <w:marLeft w:val="0"/>
      <w:marRight w:val="0"/>
      <w:marTop w:val="0"/>
      <w:marBottom w:val="0"/>
      <w:divBdr>
        <w:top w:val="none" w:sz="0" w:space="0" w:color="auto"/>
        <w:left w:val="none" w:sz="0" w:space="0" w:color="auto"/>
        <w:bottom w:val="none" w:sz="0" w:space="0" w:color="auto"/>
        <w:right w:val="none" w:sz="0" w:space="0" w:color="auto"/>
      </w:divBdr>
    </w:div>
    <w:div w:id="1732342534">
      <w:bodyDiv w:val="1"/>
      <w:marLeft w:val="0"/>
      <w:marRight w:val="0"/>
      <w:marTop w:val="0"/>
      <w:marBottom w:val="0"/>
      <w:divBdr>
        <w:top w:val="none" w:sz="0" w:space="0" w:color="auto"/>
        <w:left w:val="none" w:sz="0" w:space="0" w:color="auto"/>
        <w:bottom w:val="none" w:sz="0" w:space="0" w:color="auto"/>
        <w:right w:val="none" w:sz="0" w:space="0" w:color="auto"/>
      </w:divBdr>
    </w:div>
    <w:div w:id="1740713471">
      <w:bodyDiv w:val="1"/>
      <w:marLeft w:val="0"/>
      <w:marRight w:val="0"/>
      <w:marTop w:val="0"/>
      <w:marBottom w:val="0"/>
      <w:divBdr>
        <w:top w:val="none" w:sz="0" w:space="0" w:color="auto"/>
        <w:left w:val="none" w:sz="0" w:space="0" w:color="auto"/>
        <w:bottom w:val="none" w:sz="0" w:space="0" w:color="auto"/>
        <w:right w:val="none" w:sz="0" w:space="0" w:color="auto"/>
      </w:divBdr>
    </w:div>
    <w:div w:id="1744183810">
      <w:bodyDiv w:val="1"/>
      <w:marLeft w:val="0"/>
      <w:marRight w:val="0"/>
      <w:marTop w:val="0"/>
      <w:marBottom w:val="0"/>
      <w:divBdr>
        <w:top w:val="none" w:sz="0" w:space="0" w:color="auto"/>
        <w:left w:val="none" w:sz="0" w:space="0" w:color="auto"/>
        <w:bottom w:val="none" w:sz="0" w:space="0" w:color="auto"/>
        <w:right w:val="none" w:sz="0" w:space="0" w:color="auto"/>
      </w:divBdr>
    </w:div>
    <w:div w:id="1808663963">
      <w:bodyDiv w:val="1"/>
      <w:marLeft w:val="0"/>
      <w:marRight w:val="0"/>
      <w:marTop w:val="0"/>
      <w:marBottom w:val="0"/>
      <w:divBdr>
        <w:top w:val="none" w:sz="0" w:space="0" w:color="auto"/>
        <w:left w:val="none" w:sz="0" w:space="0" w:color="auto"/>
        <w:bottom w:val="none" w:sz="0" w:space="0" w:color="auto"/>
        <w:right w:val="none" w:sz="0" w:space="0" w:color="auto"/>
      </w:divBdr>
    </w:div>
    <w:div w:id="1887646213">
      <w:bodyDiv w:val="1"/>
      <w:marLeft w:val="0"/>
      <w:marRight w:val="0"/>
      <w:marTop w:val="0"/>
      <w:marBottom w:val="0"/>
      <w:divBdr>
        <w:top w:val="none" w:sz="0" w:space="0" w:color="auto"/>
        <w:left w:val="none" w:sz="0" w:space="0" w:color="auto"/>
        <w:bottom w:val="none" w:sz="0" w:space="0" w:color="auto"/>
        <w:right w:val="none" w:sz="0" w:space="0" w:color="auto"/>
      </w:divBdr>
    </w:div>
    <w:div w:id="1915318778">
      <w:bodyDiv w:val="1"/>
      <w:marLeft w:val="0"/>
      <w:marRight w:val="0"/>
      <w:marTop w:val="0"/>
      <w:marBottom w:val="0"/>
      <w:divBdr>
        <w:top w:val="none" w:sz="0" w:space="0" w:color="auto"/>
        <w:left w:val="none" w:sz="0" w:space="0" w:color="auto"/>
        <w:bottom w:val="none" w:sz="0" w:space="0" w:color="auto"/>
        <w:right w:val="none" w:sz="0" w:space="0" w:color="auto"/>
      </w:divBdr>
    </w:div>
    <w:div w:id="1972587683">
      <w:bodyDiv w:val="1"/>
      <w:marLeft w:val="0"/>
      <w:marRight w:val="0"/>
      <w:marTop w:val="0"/>
      <w:marBottom w:val="0"/>
      <w:divBdr>
        <w:top w:val="none" w:sz="0" w:space="0" w:color="auto"/>
        <w:left w:val="none" w:sz="0" w:space="0" w:color="auto"/>
        <w:bottom w:val="none" w:sz="0" w:space="0" w:color="auto"/>
        <w:right w:val="none" w:sz="0" w:space="0" w:color="auto"/>
      </w:divBdr>
    </w:div>
    <w:div w:id="2091778746">
      <w:bodyDiv w:val="1"/>
      <w:marLeft w:val="0"/>
      <w:marRight w:val="0"/>
      <w:marTop w:val="0"/>
      <w:marBottom w:val="0"/>
      <w:divBdr>
        <w:top w:val="none" w:sz="0" w:space="0" w:color="auto"/>
        <w:left w:val="none" w:sz="0" w:space="0" w:color="auto"/>
        <w:bottom w:val="none" w:sz="0" w:space="0" w:color="auto"/>
        <w:right w:val="none" w:sz="0" w:space="0" w:color="auto"/>
      </w:divBdr>
    </w:div>
    <w:div w:id="2095280566">
      <w:bodyDiv w:val="1"/>
      <w:marLeft w:val="0"/>
      <w:marRight w:val="0"/>
      <w:marTop w:val="0"/>
      <w:marBottom w:val="0"/>
      <w:divBdr>
        <w:top w:val="none" w:sz="0" w:space="0" w:color="auto"/>
        <w:left w:val="none" w:sz="0" w:space="0" w:color="auto"/>
        <w:bottom w:val="none" w:sz="0" w:space="0" w:color="auto"/>
        <w:right w:val="none" w:sz="0" w:space="0" w:color="auto"/>
      </w:divBdr>
    </w:div>
    <w:div w:id="2145928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Version="1">
  <b:Source>
    <b:Tag>Ahm09</b:Tag>
    <b:SourceType>ArticleInAPeriodical</b:SourceType>
    <b:Guid>{856CB069-2188-4143-B810-8558CFB2D68E}</b:Guid>
    <b:Author>
      <b:Author>
        <b:NameList>
          <b:Person>
            <b:Last>Kamel</b:Last>
            <b:First>Ahmed</b:First>
          </b:Person>
          <b:Person>
            <b:Last>Shah</b:Last>
            <b:Middle>N</b:Middle>
            <b:First>Subhash</b:First>
          </b:Person>
        </b:NameList>
      </b:Author>
    </b:Author>
    <b:Title>Effects of salinity and temperature on drag reduction characteristics of polymers</b:Title>
    <b:Year>2009</b:Year>
    <b:Publisher>Elsevier</b:Publisher>
    <b:PeriodicalTitle>Journal of Petroleum Science and Engineering 67</b:PeriodicalTitle>
    <b:Month>Fevereiro</b:Month>
    <b:Day>22</b:Day>
    <b:Pages>23-33</b:Pages>
    <b:RefOrder>1</b:RefOrder>
  </b:Source>
</b:Sources>
</file>

<file path=customXml/itemProps1.xml><?xml version="1.0" encoding="utf-8"?>
<ds:datastoreItem xmlns:ds="http://schemas.openxmlformats.org/officeDocument/2006/customXml" ds:itemID="{FB5808E1-7DA8-49D3-A157-139052BFA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93</Pages>
  <Words>24586</Words>
  <Characters>132770</Characters>
  <Application>Microsoft Office Word</Application>
  <DocSecurity>0</DocSecurity>
  <Lines>1106</Lines>
  <Paragraphs>314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Jhonnilo Soares Cunha</dc:creator>
  <cp:keywords/>
  <dc:description/>
  <cp:lastModifiedBy>Jhonnilo Soares Cunha</cp:lastModifiedBy>
  <cp:revision>20</cp:revision>
  <cp:lastPrinted>2017-07-18T07:04:00Z</cp:lastPrinted>
  <dcterms:created xsi:type="dcterms:W3CDTF">2017-07-25T03:32:00Z</dcterms:created>
  <dcterms:modified xsi:type="dcterms:W3CDTF">2017-08-05T01:36:00Z</dcterms:modified>
</cp:coreProperties>
</file>